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1B77" w14:textId="412BCC61" w:rsidR="00666DD3" w:rsidRPr="00312DFD" w:rsidRDefault="00666DD3">
      <w:pPr>
        <w:spacing w:after="800"/>
      </w:pPr>
    </w:p>
    <w:p w14:paraId="3DFF8736" w14:textId="77777777" w:rsidR="00666DD3" w:rsidRPr="00312DFD" w:rsidRDefault="00000000">
      <w:pPr>
        <w:spacing w:after="60"/>
      </w:pPr>
      <w:r w:rsidRPr="00312DFD">
        <w:rPr>
          <w:color w:val="0A1628"/>
          <w:sz w:val="52"/>
          <w:szCs w:val="52"/>
        </w:rPr>
        <w:t>Banking Access in</w:t>
      </w:r>
    </w:p>
    <w:p w14:paraId="1A7E49AC" w14:textId="25A30063" w:rsidR="00666DD3" w:rsidRPr="00312DFD" w:rsidRDefault="00312DFD" w:rsidP="00312DFD">
      <w:pPr>
        <w:pBdr>
          <w:bottom w:val="single" w:sz="12" w:space="6" w:color="E8943A"/>
        </w:pBdr>
        <w:spacing w:after="320"/>
      </w:pPr>
      <w:r>
        <w:rPr>
          <w:b/>
          <w:bCs/>
          <w:color w:val="0A1628"/>
          <w:sz w:val="56"/>
          <w:szCs w:val="56"/>
        </w:rPr>
        <w:t>Withernsea and Hedon</w:t>
      </w:r>
    </w:p>
    <w:p w14:paraId="79DCFAB0" w14:textId="77777777" w:rsidR="00666DD3" w:rsidRPr="00312DFD" w:rsidRDefault="00000000">
      <w:pPr>
        <w:spacing w:after="120"/>
      </w:pPr>
      <w:r w:rsidRPr="00312DFD">
        <w:rPr>
          <w:color w:val="1A1A2E"/>
        </w:rPr>
        <w:t>Survey of resident experiences of local banking services</w:t>
      </w:r>
    </w:p>
    <w:p w14:paraId="2D8A1C69" w14:textId="1CD12F41" w:rsidR="00666DD3" w:rsidRPr="00312DFD" w:rsidRDefault="00000000">
      <w:pPr>
        <w:spacing w:after="180"/>
      </w:pPr>
      <w:r w:rsidRPr="00312DFD">
        <w:rPr>
          <w:i/>
          <w:iCs/>
          <w:color w:val="1A1A2E"/>
        </w:rPr>
        <w:t xml:space="preserve">Graham Stuart MP  ·  Beverley &amp; Holderness  ·  </w:t>
      </w:r>
      <w:r w:rsidR="00312DFD">
        <w:rPr>
          <w:i/>
          <w:iCs/>
          <w:color w:val="1A1A2E"/>
        </w:rPr>
        <w:t>14</w:t>
      </w:r>
      <w:r w:rsidR="00312DFD" w:rsidRPr="00312DFD">
        <w:rPr>
          <w:i/>
          <w:iCs/>
          <w:color w:val="1A1A2E"/>
          <w:vertAlign w:val="superscript"/>
        </w:rPr>
        <w:t>th</w:t>
      </w:r>
      <w:r w:rsidR="00312DFD">
        <w:rPr>
          <w:i/>
          <w:iCs/>
          <w:color w:val="1A1A2E"/>
        </w:rPr>
        <w:t xml:space="preserve"> </w:t>
      </w:r>
      <w:r w:rsidRPr="00312DFD">
        <w:rPr>
          <w:i/>
          <w:iCs/>
          <w:color w:val="1A1A2E"/>
        </w:rPr>
        <w:t>May 2026</w:t>
      </w:r>
    </w:p>
    <w:p w14:paraId="2670C655" w14:textId="77777777" w:rsidR="00666DD3" w:rsidRPr="00312DFD" w:rsidRDefault="00666DD3">
      <w:pPr>
        <w:spacing w:after="6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256"/>
        <w:gridCol w:w="2257"/>
        <w:gridCol w:w="2257"/>
      </w:tblGrid>
      <w:tr w:rsidR="00666DD3" w:rsidRPr="00312DFD" w14:paraId="63416A2F" w14:textId="77777777">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0A1628"/>
            <w:tcMar>
              <w:top w:w="180" w:type="dxa"/>
              <w:left w:w="160" w:type="dxa"/>
              <w:bottom w:w="180" w:type="dxa"/>
              <w:right w:w="160" w:type="dxa"/>
            </w:tcMar>
            <w:vAlign w:val="center"/>
          </w:tcPr>
          <w:p w14:paraId="4F756AB8" w14:textId="77777777" w:rsidR="00666DD3" w:rsidRPr="00312DFD" w:rsidRDefault="00000000">
            <w:pPr>
              <w:spacing w:after="80"/>
              <w:jc w:val="center"/>
            </w:pPr>
            <w:r w:rsidRPr="00312DFD">
              <w:rPr>
                <w:b/>
                <w:bCs/>
                <w:color w:val="F5B569"/>
                <w:sz w:val="56"/>
                <w:szCs w:val="56"/>
              </w:rPr>
              <w:t>125</w:t>
            </w:r>
          </w:p>
          <w:p w14:paraId="668BE564" w14:textId="77777777" w:rsidR="00666DD3" w:rsidRPr="00312DFD" w:rsidRDefault="00000000">
            <w:pPr>
              <w:jc w:val="center"/>
            </w:pPr>
            <w:r w:rsidRPr="00312DFD">
              <w:rPr>
                <w:color w:val="BBBBCC"/>
                <w:sz w:val="18"/>
                <w:szCs w:val="18"/>
              </w:rPr>
              <w:t>residents responded</w:t>
            </w:r>
          </w:p>
        </w:tc>
        <w:tc>
          <w:tcPr>
            <w:tcW w:w="2256" w:type="dxa"/>
            <w:tcBorders>
              <w:top w:val="single" w:sz="1" w:space="0" w:color="CCCCCC"/>
              <w:left w:val="single" w:sz="1" w:space="0" w:color="CCCCCC"/>
              <w:bottom w:val="single" w:sz="1" w:space="0" w:color="CCCCCC"/>
              <w:right w:val="single" w:sz="1" w:space="0" w:color="CCCCCC"/>
            </w:tcBorders>
            <w:shd w:val="clear" w:color="auto" w:fill="0A1628"/>
            <w:tcMar>
              <w:top w:w="180" w:type="dxa"/>
              <w:left w:w="160" w:type="dxa"/>
              <w:bottom w:w="180" w:type="dxa"/>
              <w:right w:w="160" w:type="dxa"/>
            </w:tcMar>
            <w:vAlign w:val="center"/>
          </w:tcPr>
          <w:p w14:paraId="1FEC1149" w14:textId="77777777" w:rsidR="00666DD3" w:rsidRPr="00312DFD" w:rsidRDefault="00000000">
            <w:pPr>
              <w:spacing w:after="80"/>
              <w:jc w:val="center"/>
            </w:pPr>
            <w:r w:rsidRPr="00312DFD">
              <w:rPr>
                <w:b/>
                <w:bCs/>
                <w:color w:val="F5B569"/>
                <w:sz w:val="56"/>
                <w:szCs w:val="56"/>
              </w:rPr>
              <w:t>65%</w:t>
            </w:r>
          </w:p>
          <w:p w14:paraId="3E5FDCD6" w14:textId="77777777" w:rsidR="00666DD3" w:rsidRPr="00312DFD" w:rsidRDefault="00000000">
            <w:pPr>
              <w:jc w:val="center"/>
            </w:pPr>
            <w:r w:rsidRPr="00312DFD">
              <w:rPr>
                <w:color w:val="BBBBCC"/>
                <w:sz w:val="18"/>
                <w:szCs w:val="18"/>
              </w:rPr>
              <w:t>used the Banking Hub or Cash Hub</w:t>
            </w:r>
          </w:p>
        </w:tc>
        <w:tc>
          <w:tcPr>
            <w:tcW w:w="2256" w:type="dxa"/>
            <w:tcBorders>
              <w:top w:val="single" w:sz="1" w:space="0" w:color="CCCCCC"/>
              <w:left w:val="single" w:sz="1" w:space="0" w:color="CCCCCC"/>
              <w:bottom w:val="single" w:sz="1" w:space="0" w:color="CCCCCC"/>
              <w:right w:val="single" w:sz="1" w:space="0" w:color="CCCCCC"/>
            </w:tcBorders>
            <w:shd w:val="clear" w:color="auto" w:fill="0A1628"/>
            <w:tcMar>
              <w:top w:w="180" w:type="dxa"/>
              <w:left w:w="160" w:type="dxa"/>
              <w:bottom w:w="180" w:type="dxa"/>
              <w:right w:w="160" w:type="dxa"/>
            </w:tcMar>
            <w:vAlign w:val="center"/>
          </w:tcPr>
          <w:p w14:paraId="7EA7C3DF" w14:textId="77777777" w:rsidR="00666DD3" w:rsidRPr="00312DFD" w:rsidRDefault="00000000">
            <w:pPr>
              <w:spacing w:after="80"/>
              <w:jc w:val="center"/>
            </w:pPr>
            <w:r w:rsidRPr="00312DFD">
              <w:rPr>
                <w:b/>
                <w:bCs/>
                <w:color w:val="F5B569"/>
                <w:sz w:val="56"/>
                <w:szCs w:val="56"/>
              </w:rPr>
              <w:t>22%</w:t>
            </w:r>
          </w:p>
          <w:p w14:paraId="051242D1" w14:textId="77777777" w:rsidR="00666DD3" w:rsidRPr="00312DFD" w:rsidRDefault="00000000">
            <w:pPr>
              <w:jc w:val="center"/>
            </w:pPr>
            <w:r w:rsidRPr="00312DFD">
              <w:rPr>
                <w:color w:val="BBBBCC"/>
                <w:sz w:val="18"/>
                <w:szCs w:val="18"/>
              </w:rPr>
              <w:t>unable to withdraw cash locally</w:t>
            </w:r>
          </w:p>
        </w:tc>
        <w:tc>
          <w:tcPr>
            <w:tcW w:w="2256" w:type="dxa"/>
            <w:tcBorders>
              <w:top w:val="single" w:sz="1" w:space="0" w:color="CCCCCC"/>
              <w:left w:val="single" w:sz="1" w:space="0" w:color="CCCCCC"/>
              <w:bottom w:val="single" w:sz="1" w:space="0" w:color="CCCCCC"/>
              <w:right w:val="single" w:sz="1" w:space="0" w:color="CCCCCC"/>
            </w:tcBorders>
            <w:shd w:val="clear" w:color="auto" w:fill="0A1628"/>
            <w:tcMar>
              <w:top w:w="180" w:type="dxa"/>
              <w:left w:w="160" w:type="dxa"/>
              <w:bottom w:w="180" w:type="dxa"/>
              <w:right w:w="160" w:type="dxa"/>
            </w:tcMar>
            <w:vAlign w:val="center"/>
          </w:tcPr>
          <w:p w14:paraId="289A08B2" w14:textId="77777777" w:rsidR="00666DD3" w:rsidRPr="00312DFD" w:rsidRDefault="00000000">
            <w:pPr>
              <w:spacing w:after="80"/>
              <w:jc w:val="center"/>
            </w:pPr>
            <w:r w:rsidRPr="00312DFD">
              <w:rPr>
                <w:b/>
                <w:bCs/>
                <w:color w:val="F5B569"/>
                <w:sz w:val="56"/>
                <w:szCs w:val="56"/>
              </w:rPr>
              <w:t>20%</w:t>
            </w:r>
          </w:p>
          <w:p w14:paraId="384C540E" w14:textId="77777777" w:rsidR="00666DD3" w:rsidRPr="00312DFD" w:rsidRDefault="00000000">
            <w:pPr>
              <w:jc w:val="center"/>
            </w:pPr>
            <w:r w:rsidRPr="00312DFD">
              <w:rPr>
                <w:color w:val="BBBBCC"/>
                <w:sz w:val="18"/>
                <w:szCs w:val="18"/>
              </w:rPr>
              <w:t>unable to deposit a cheque locally</w:t>
            </w:r>
          </w:p>
        </w:tc>
      </w:tr>
    </w:tbl>
    <w:p w14:paraId="5F9389C1" w14:textId="77777777" w:rsidR="00666DD3" w:rsidRPr="00312DFD" w:rsidRDefault="00666DD3">
      <w:pPr>
        <w:spacing w:after="400"/>
      </w:pPr>
    </w:p>
    <w:p w14:paraId="3A18948B" w14:textId="77777777" w:rsidR="00666DD3" w:rsidRPr="00312DFD" w:rsidRDefault="00000000">
      <w:pPr>
        <w:spacing w:after="140"/>
      </w:pPr>
      <w:r w:rsidRPr="00312DFD">
        <w:rPr>
          <w:color w:val="6B7A8D"/>
        </w:rPr>
        <w:t>Summary</w:t>
      </w:r>
    </w:p>
    <w:p w14:paraId="5C0773C2" w14:textId="77777777" w:rsidR="00666DD3" w:rsidRPr="00312DFD" w:rsidRDefault="00000000">
      <w:pPr>
        <w:spacing w:after="180"/>
      </w:pPr>
      <w:r w:rsidRPr="00312DFD">
        <w:rPr>
          <w:color w:val="1A1A2E"/>
        </w:rPr>
        <w:t>125 residents responded to this survey, sharing their experiences of local cash access, cheque deposit services, and the Banking Hub in Withernsea and Cash Hub in Hedon. The results reveal significant challenges for residents who cannot travel to Hull, work standard hours, or use digital banking — alongside encouraging feedback about the hubs from those who have used them.</w:t>
      </w:r>
    </w:p>
    <w:p w14:paraId="24F0BC75" w14:textId="77777777" w:rsidR="00666DD3" w:rsidRPr="00312DFD" w:rsidRDefault="00666DD3">
      <w:pPr>
        <w:pageBreakBefore/>
      </w:pPr>
    </w:p>
    <w:p w14:paraId="427AAC52" w14:textId="77777777" w:rsidR="00666DD3" w:rsidRPr="00312DFD" w:rsidRDefault="00000000">
      <w:pPr>
        <w:pBdr>
          <w:bottom w:val="single" w:sz="8" w:space="4" w:color="E8943A"/>
        </w:pBdr>
        <w:spacing w:before="400" w:after="200"/>
      </w:pPr>
      <w:r w:rsidRPr="00312DFD">
        <w:rPr>
          <w:b/>
          <w:bCs/>
          <w:color w:val="0A1628"/>
          <w:sz w:val="32"/>
          <w:szCs w:val="32"/>
        </w:rPr>
        <w:t>Key Findings</w:t>
      </w:r>
    </w:p>
    <w:p w14:paraId="77319B21" w14:textId="77777777" w:rsidR="00666DD3" w:rsidRPr="00312DFD" w:rsidRDefault="00000000">
      <w:pPr>
        <w:spacing w:before="320" w:after="160"/>
      </w:pPr>
      <w:r w:rsidRPr="00312DFD">
        <w:rPr>
          <w:b/>
          <w:bCs/>
          <w:color w:val="1A3A5C"/>
          <w:sz w:val="26"/>
          <w:szCs w:val="26"/>
        </w:rPr>
        <w:t>Use of Local Hubs</w:t>
      </w:r>
    </w:p>
    <w:p w14:paraId="45193CEB" w14:textId="77777777" w:rsidR="00666DD3" w:rsidRPr="00312DFD" w:rsidRDefault="00000000">
      <w:pPr>
        <w:spacing w:after="180"/>
      </w:pPr>
      <w:r w:rsidRPr="00312DFD">
        <w:rPr>
          <w:color w:val="1A1A2E"/>
        </w:rPr>
        <w:t xml:space="preserve">65% of respondents (81 out of 125) have used the Banking Hub in Withernsea or the Cash Hub in Hedon. This shows the hubs are reaching a significant portion of </w:t>
      </w:r>
      <w:proofErr w:type="gramStart"/>
      <w:r w:rsidRPr="00312DFD">
        <w:rPr>
          <w:color w:val="1A1A2E"/>
        </w:rPr>
        <w:t>local residents</w:t>
      </w:r>
      <w:proofErr w:type="gramEnd"/>
      <w:r w:rsidRPr="00312DFD">
        <w:rPr>
          <w:color w:val="1A1A2E"/>
        </w:rPr>
        <w:t>, though over a third have not engaged with them — whether due to awareness, location, opening hours, or the fact that their specific banking needs cannot be met at the hubs.</w:t>
      </w:r>
    </w:p>
    <w:p w14:paraId="7442EDD7" w14:textId="77777777" w:rsidR="00666DD3" w:rsidRPr="00312DFD" w:rsidRDefault="00666DD3">
      <w:pPr>
        <w:spacing w:after="80"/>
      </w:pPr>
    </w:p>
    <w:p w14:paraId="46AB5594" w14:textId="77777777" w:rsidR="00666DD3" w:rsidRPr="00312DFD" w:rsidRDefault="00000000">
      <w:pPr>
        <w:spacing w:before="320" w:after="160"/>
      </w:pPr>
      <w:r w:rsidRPr="00312DFD">
        <w:rPr>
          <w:b/>
          <w:bCs/>
          <w:color w:val="1A3A5C"/>
          <w:sz w:val="26"/>
          <w:szCs w:val="26"/>
        </w:rPr>
        <w:t>Cash Withdrawal</w:t>
      </w:r>
    </w:p>
    <w:p w14:paraId="35FEEE00" w14:textId="77777777" w:rsidR="00666DD3" w:rsidRPr="00312DFD" w:rsidRDefault="00000000">
      <w:pPr>
        <w:spacing w:after="180"/>
      </w:pPr>
      <w:r w:rsidRPr="00312DFD">
        <w:rPr>
          <w:color w:val="1A1A2E"/>
        </w:rPr>
        <w:t>22% of respondents (28 people) reported being unable to withdraw cash locally at some point. Key issues raised include:</w:t>
      </w:r>
    </w:p>
    <w:p w14:paraId="0FFD4AAC" w14:textId="77777777" w:rsidR="00666DD3" w:rsidRPr="00312DFD" w:rsidRDefault="00000000">
      <w:pPr>
        <w:pStyle w:val="ListParagraph"/>
        <w:numPr>
          <w:ilvl w:val="0"/>
          <w:numId w:val="2"/>
        </w:numPr>
        <w:spacing w:before="60" w:after="100"/>
      </w:pPr>
      <w:r w:rsidRPr="00312DFD">
        <w:rPr>
          <w:color w:val="1A1A2E"/>
        </w:rPr>
        <w:t>ATMs at Sainsbury's and local garages running out of cash, with no reliable alternative</w:t>
      </w:r>
    </w:p>
    <w:p w14:paraId="032665B4" w14:textId="77777777" w:rsidR="00666DD3" w:rsidRPr="00312DFD" w:rsidRDefault="00000000">
      <w:pPr>
        <w:pStyle w:val="ListParagraph"/>
        <w:numPr>
          <w:ilvl w:val="0"/>
          <w:numId w:val="2"/>
        </w:numPr>
        <w:spacing w:before="60" w:after="100"/>
      </w:pPr>
      <w:r w:rsidRPr="00312DFD">
        <w:rPr>
          <w:color w:val="1A1A2E"/>
        </w:rPr>
        <w:t>No 24-hour ATM in Hedon town centre</w:t>
      </w:r>
    </w:p>
    <w:p w14:paraId="73186D39" w14:textId="77777777" w:rsidR="00666DD3" w:rsidRPr="00312DFD" w:rsidRDefault="00000000">
      <w:pPr>
        <w:pStyle w:val="ListParagraph"/>
        <w:numPr>
          <w:ilvl w:val="0"/>
          <w:numId w:val="2"/>
        </w:numPr>
        <w:spacing w:before="60" w:after="100"/>
      </w:pPr>
      <w:r w:rsidRPr="00312DFD">
        <w:rPr>
          <w:color w:val="1A1A2E"/>
        </w:rPr>
        <w:t>Some savings accounts and non-standard accounts not accepted at hub ATMs</w:t>
      </w:r>
    </w:p>
    <w:p w14:paraId="0B2324D0" w14:textId="77777777" w:rsidR="00666DD3" w:rsidRPr="00312DFD" w:rsidRDefault="00000000">
      <w:pPr>
        <w:pStyle w:val="ListParagraph"/>
        <w:numPr>
          <w:ilvl w:val="0"/>
          <w:numId w:val="2"/>
        </w:numPr>
        <w:spacing w:before="60" w:after="100"/>
      </w:pPr>
      <w:r w:rsidRPr="00312DFD">
        <w:rPr>
          <w:color w:val="1A1A2E"/>
        </w:rPr>
        <w:t>Residents in more rural areas having to drive considerable distances to find a working cash machine</w:t>
      </w:r>
    </w:p>
    <w:p w14:paraId="5E4808C4"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6CFAB604"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0C8532CE" w14:textId="77777777" w:rsidR="00666DD3" w:rsidRPr="00312DFD" w:rsidRDefault="00000000">
            <w:r w:rsidRPr="00312DFD">
              <w:rPr>
                <w:i/>
                <w:iCs/>
                <w:color w:val="2A2A3E"/>
              </w:rPr>
              <w:t>"Just withdrawing money when the machine at the garage is down — I hope and pray I'm not driving round to find a cashpoint that works."</w:t>
            </w:r>
          </w:p>
        </w:tc>
      </w:tr>
    </w:tbl>
    <w:p w14:paraId="6925A598" w14:textId="77777777" w:rsidR="00666DD3" w:rsidRPr="00312DFD" w:rsidRDefault="00666DD3">
      <w:pPr>
        <w:spacing w:after="80"/>
      </w:pPr>
    </w:p>
    <w:p w14:paraId="644EB8DE" w14:textId="77777777" w:rsidR="00666DD3" w:rsidRPr="00312DFD" w:rsidRDefault="00000000">
      <w:pPr>
        <w:spacing w:before="320" w:after="160"/>
      </w:pPr>
      <w:r w:rsidRPr="00312DFD">
        <w:rPr>
          <w:b/>
          <w:bCs/>
          <w:color w:val="1A3A5C"/>
          <w:sz w:val="26"/>
          <w:szCs w:val="26"/>
        </w:rPr>
        <w:t>Cheque Deposits</w:t>
      </w:r>
    </w:p>
    <w:p w14:paraId="3B171822" w14:textId="77777777" w:rsidR="00666DD3" w:rsidRPr="00312DFD" w:rsidRDefault="00000000">
      <w:pPr>
        <w:spacing w:after="180"/>
      </w:pPr>
      <w:r w:rsidRPr="00312DFD">
        <w:rPr>
          <w:color w:val="1A1A2E"/>
        </w:rPr>
        <w:t>20% of respondents (25 people) reported being unable to deposit a cheque locally. This is a particular problem because:</w:t>
      </w:r>
    </w:p>
    <w:p w14:paraId="00059105" w14:textId="77777777" w:rsidR="00666DD3" w:rsidRPr="00312DFD" w:rsidRDefault="00000000">
      <w:pPr>
        <w:pStyle w:val="ListParagraph"/>
        <w:numPr>
          <w:ilvl w:val="0"/>
          <w:numId w:val="2"/>
        </w:numPr>
        <w:spacing w:before="60" w:after="100"/>
      </w:pPr>
      <w:r w:rsidRPr="00312DFD">
        <w:rPr>
          <w:color w:val="1A1A2E"/>
        </w:rPr>
        <w:t xml:space="preserve">Cheque acceptance rules vary by bank at the hubs — </w:t>
      </w:r>
      <w:proofErr w:type="gramStart"/>
      <w:r w:rsidRPr="00312DFD">
        <w:rPr>
          <w:color w:val="1A1A2E"/>
        </w:rPr>
        <w:t>Lloyds</w:t>
      </w:r>
      <w:proofErr w:type="gramEnd"/>
      <w:r w:rsidRPr="00312DFD">
        <w:rPr>
          <w:color w:val="1A1A2E"/>
        </w:rPr>
        <w:t xml:space="preserve"> cheques, for instance, are not accepted for </w:t>
      </w:r>
      <w:proofErr w:type="gramStart"/>
      <w:r w:rsidRPr="00312DFD">
        <w:rPr>
          <w:color w:val="1A1A2E"/>
        </w:rPr>
        <w:t>Lloyds</w:t>
      </w:r>
      <w:proofErr w:type="gramEnd"/>
      <w:r w:rsidRPr="00312DFD">
        <w:rPr>
          <w:color w:val="1A1A2E"/>
        </w:rPr>
        <w:t xml:space="preserve"> customers at the Hedon Cash Hub</w:t>
      </w:r>
    </w:p>
    <w:p w14:paraId="709916EC" w14:textId="77777777" w:rsidR="00666DD3" w:rsidRPr="00312DFD" w:rsidRDefault="00000000">
      <w:pPr>
        <w:pStyle w:val="ListParagraph"/>
        <w:numPr>
          <w:ilvl w:val="0"/>
          <w:numId w:val="2"/>
        </w:numPr>
        <w:spacing w:before="60" w:after="100"/>
      </w:pPr>
      <w:r w:rsidRPr="00312DFD">
        <w:rPr>
          <w:color w:val="1A1A2E"/>
        </w:rPr>
        <w:t>Charities, WI treasurers, and community organisations are disproportionately affected, as many still handle cheques routinely</w:t>
      </w:r>
    </w:p>
    <w:p w14:paraId="3C115F16" w14:textId="77777777" w:rsidR="00666DD3" w:rsidRPr="00312DFD" w:rsidRDefault="00000000">
      <w:pPr>
        <w:pStyle w:val="ListParagraph"/>
        <w:numPr>
          <w:ilvl w:val="0"/>
          <w:numId w:val="2"/>
        </w:numPr>
        <w:spacing w:before="60" w:after="100"/>
      </w:pPr>
      <w:r w:rsidRPr="00312DFD">
        <w:rPr>
          <w:color w:val="1A1A2E"/>
        </w:rPr>
        <w:t>Halifax ceased accepting cheques in December 2025, meaning customers must now travel to Hull</w:t>
      </w:r>
    </w:p>
    <w:p w14:paraId="0179A04B"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15074426"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320713CC" w14:textId="77777777" w:rsidR="00666DD3" w:rsidRPr="00312DFD" w:rsidRDefault="00000000">
            <w:pPr>
              <w:spacing w:after="120"/>
            </w:pPr>
            <w:r w:rsidRPr="00312DFD">
              <w:rPr>
                <w:i/>
                <w:iCs/>
                <w:color w:val="2A2A3E"/>
              </w:rPr>
              <w:t xml:space="preserve">"Halifax ceased taking cheques December 2025. We </w:t>
            </w:r>
            <w:proofErr w:type="gramStart"/>
            <w:r w:rsidRPr="00312DFD">
              <w:rPr>
                <w:i/>
                <w:iCs/>
                <w:color w:val="2A2A3E"/>
              </w:rPr>
              <w:t>have to</w:t>
            </w:r>
            <w:proofErr w:type="gramEnd"/>
            <w:r w:rsidRPr="00312DFD">
              <w:rPr>
                <w:i/>
                <w:iCs/>
                <w:color w:val="2A2A3E"/>
              </w:rPr>
              <w:t xml:space="preserve"> travel to Hull to do this. As we choose not to drive, we </w:t>
            </w:r>
            <w:proofErr w:type="gramStart"/>
            <w:r w:rsidRPr="00312DFD">
              <w:rPr>
                <w:i/>
                <w:iCs/>
                <w:color w:val="2A2A3E"/>
              </w:rPr>
              <w:t>have to</w:t>
            </w:r>
            <w:proofErr w:type="gramEnd"/>
            <w:r w:rsidRPr="00312DFD">
              <w:rPr>
                <w:i/>
                <w:iCs/>
                <w:color w:val="2A2A3E"/>
              </w:rPr>
              <w:t xml:space="preserve"> use public transport — a 3-hour round trip at a cost of £6 — and most of the time the cheque we need to deposit is for £5. We live in Withernsea and the Hub is a short walk free of charge."</w:t>
            </w:r>
          </w:p>
          <w:p w14:paraId="548F3594" w14:textId="77777777" w:rsidR="00666DD3" w:rsidRPr="00312DFD" w:rsidRDefault="00000000">
            <w:r w:rsidRPr="00312DFD">
              <w:rPr>
                <w:color w:val="6B7A8D"/>
                <w:sz w:val="20"/>
                <w:szCs w:val="20"/>
              </w:rPr>
              <w:lastRenderedPageBreak/>
              <w:t>— Withernsea resident</w:t>
            </w:r>
          </w:p>
        </w:tc>
      </w:tr>
    </w:tbl>
    <w:p w14:paraId="52CE2BB6" w14:textId="77777777" w:rsidR="00666DD3" w:rsidRPr="00312DFD" w:rsidRDefault="00666DD3">
      <w:pPr>
        <w:spacing w:after="80"/>
      </w:pPr>
    </w:p>
    <w:p w14:paraId="4A6FD103" w14:textId="77777777" w:rsidR="00666DD3" w:rsidRPr="00312DFD" w:rsidRDefault="00000000">
      <w:pPr>
        <w:spacing w:before="320" w:after="160"/>
      </w:pPr>
      <w:r w:rsidRPr="00312DFD">
        <w:rPr>
          <w:b/>
          <w:bCs/>
          <w:color w:val="1A3A5C"/>
          <w:sz w:val="26"/>
          <w:szCs w:val="26"/>
        </w:rPr>
        <w:t>Hub Opening Hours</w:t>
      </w:r>
    </w:p>
    <w:p w14:paraId="3EB24F82" w14:textId="77777777" w:rsidR="00666DD3" w:rsidRPr="00312DFD" w:rsidRDefault="00000000">
      <w:pPr>
        <w:spacing w:after="180"/>
      </w:pPr>
      <w:r w:rsidRPr="00312DFD">
        <w:rPr>
          <w:color w:val="1A1A2E"/>
        </w:rPr>
        <w:t>A recurring complaint is that both hubs operate Monday to Friday during standard working hours. This creates a significant barrier for:</w:t>
      </w:r>
    </w:p>
    <w:p w14:paraId="59A10BE3" w14:textId="77777777" w:rsidR="00666DD3" w:rsidRPr="00312DFD" w:rsidRDefault="00000000">
      <w:pPr>
        <w:pStyle w:val="ListParagraph"/>
        <w:numPr>
          <w:ilvl w:val="0"/>
          <w:numId w:val="2"/>
        </w:numPr>
        <w:spacing w:before="60" w:after="100"/>
      </w:pPr>
      <w:r w:rsidRPr="00312DFD">
        <w:rPr>
          <w:color w:val="1A1A2E"/>
        </w:rPr>
        <w:t>Residents who work full-time and cannot take time off to do banking</w:t>
      </w:r>
    </w:p>
    <w:p w14:paraId="1251DF41" w14:textId="77777777" w:rsidR="00666DD3" w:rsidRPr="00312DFD" w:rsidRDefault="00000000">
      <w:pPr>
        <w:pStyle w:val="ListParagraph"/>
        <w:numPr>
          <w:ilvl w:val="0"/>
          <w:numId w:val="2"/>
        </w:numPr>
        <w:spacing w:before="60" w:after="100"/>
      </w:pPr>
      <w:r w:rsidRPr="00312DFD">
        <w:rPr>
          <w:color w:val="1A1A2E"/>
        </w:rPr>
        <w:t>Anyone needing to bank at evenings or weekends</w:t>
      </w:r>
    </w:p>
    <w:p w14:paraId="69EE87A5"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524A3CF8"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7ED6A645" w14:textId="77777777" w:rsidR="00666DD3" w:rsidRPr="00312DFD" w:rsidRDefault="00000000">
            <w:pPr>
              <w:spacing w:after="120"/>
            </w:pPr>
            <w:r w:rsidRPr="00312DFD">
              <w:rPr>
                <w:i/>
                <w:iCs/>
                <w:color w:val="2A2A3E"/>
              </w:rPr>
              <w:t xml:space="preserve">"I tried to use the Hedon </w:t>
            </w:r>
            <w:proofErr w:type="gramStart"/>
            <w:r w:rsidRPr="00312DFD">
              <w:rPr>
                <w:i/>
                <w:iCs/>
                <w:color w:val="2A2A3E"/>
              </w:rPr>
              <w:t>Hub</w:t>
            </w:r>
            <w:proofErr w:type="gramEnd"/>
            <w:r w:rsidRPr="00312DFD">
              <w:rPr>
                <w:i/>
                <w:iCs/>
                <w:color w:val="2A2A3E"/>
              </w:rPr>
              <w:t xml:space="preserve"> but it isn't open on a Saturday morning. This isn't ideal when you work Monday to Friday."</w:t>
            </w:r>
          </w:p>
          <w:p w14:paraId="0BB5A366" w14:textId="77777777" w:rsidR="00666DD3" w:rsidRPr="00312DFD" w:rsidRDefault="00000000">
            <w:r w:rsidRPr="00312DFD">
              <w:rPr>
                <w:color w:val="6B7A8D"/>
                <w:sz w:val="20"/>
                <w:szCs w:val="20"/>
              </w:rPr>
              <w:t>— Hedon resident</w:t>
            </w:r>
          </w:p>
        </w:tc>
      </w:tr>
    </w:tbl>
    <w:p w14:paraId="0511E9C9"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6289F6CE"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1B4288E2" w14:textId="77777777" w:rsidR="00666DD3" w:rsidRPr="00312DFD" w:rsidRDefault="00000000">
            <w:r w:rsidRPr="00312DFD">
              <w:rPr>
                <w:i/>
                <w:iCs/>
                <w:color w:val="2A2A3E"/>
              </w:rPr>
              <w:t xml:space="preserve">"Yes, as the cash hub is only open Monday to Friday 9am to 5pm and I work 7:30 to 5pm, it is not much help to me unless I am off. I </w:t>
            </w:r>
            <w:proofErr w:type="gramStart"/>
            <w:r w:rsidRPr="00312DFD">
              <w:rPr>
                <w:i/>
                <w:iCs/>
                <w:color w:val="2A2A3E"/>
              </w:rPr>
              <w:t>have to</w:t>
            </w:r>
            <w:proofErr w:type="gramEnd"/>
            <w:r w:rsidRPr="00312DFD">
              <w:rPr>
                <w:i/>
                <w:iCs/>
                <w:color w:val="2A2A3E"/>
              </w:rPr>
              <w:t xml:space="preserve"> rely on the cash machines at Sainsbury's which often are out of cash. I wonder how older people cope."</w:t>
            </w:r>
          </w:p>
        </w:tc>
      </w:tr>
    </w:tbl>
    <w:p w14:paraId="61CE1939" w14:textId="77777777" w:rsidR="00666DD3" w:rsidRPr="00312DFD" w:rsidRDefault="00666DD3">
      <w:pPr>
        <w:spacing w:after="80"/>
      </w:pPr>
    </w:p>
    <w:p w14:paraId="3AAA7820" w14:textId="77777777" w:rsidR="00666DD3" w:rsidRPr="00312DFD" w:rsidRDefault="00000000">
      <w:pPr>
        <w:spacing w:before="320" w:after="160"/>
      </w:pPr>
      <w:r w:rsidRPr="00312DFD">
        <w:rPr>
          <w:b/>
          <w:bCs/>
          <w:color w:val="1A3A5C"/>
          <w:sz w:val="26"/>
          <w:szCs w:val="26"/>
        </w:rPr>
        <w:t>Elderly and Vulnerable Residents</w:t>
      </w:r>
    </w:p>
    <w:p w14:paraId="38CF23FD" w14:textId="77777777" w:rsidR="00666DD3" w:rsidRPr="00312DFD" w:rsidRDefault="00000000">
      <w:pPr>
        <w:spacing w:after="180"/>
      </w:pPr>
      <w:r w:rsidRPr="00312DFD">
        <w:rPr>
          <w:color w:val="1A1A2E"/>
        </w:rPr>
        <w:t>Several respondents raised concerns — often on behalf of elderly relatives or neighbours — about the increasing pressure to use digital banking and the closure of face-to-face services.</w:t>
      </w:r>
    </w:p>
    <w:p w14:paraId="7DA47BDF"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28053444"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2A31077C" w14:textId="77777777" w:rsidR="00666DD3" w:rsidRPr="00312DFD" w:rsidRDefault="00000000">
            <w:pPr>
              <w:spacing w:after="120"/>
            </w:pPr>
            <w:r w:rsidRPr="00312DFD">
              <w:rPr>
                <w:i/>
                <w:iCs/>
                <w:color w:val="2A2A3E"/>
              </w:rPr>
              <w:t>"My concern is for my 85-year-old mum. Lloyds have tried every way possible to get her to have an online banking app. At 85, she neither trusts the internet nor has the resources to access one. Before the Hedon branch closed she had annual meetings to discuss her accounts and shares. She was told she would no longer have access to this service."</w:t>
            </w:r>
          </w:p>
          <w:p w14:paraId="35F8E20F" w14:textId="77777777" w:rsidR="00666DD3" w:rsidRPr="00312DFD" w:rsidRDefault="00000000">
            <w:r w:rsidRPr="00312DFD">
              <w:rPr>
                <w:color w:val="6B7A8D"/>
                <w:sz w:val="20"/>
                <w:szCs w:val="20"/>
              </w:rPr>
              <w:t>— Hedon resident</w:t>
            </w:r>
          </w:p>
        </w:tc>
      </w:tr>
    </w:tbl>
    <w:p w14:paraId="6AB2CDDF"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38A0E3E9"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6890D48D" w14:textId="77777777" w:rsidR="00666DD3" w:rsidRPr="00312DFD" w:rsidRDefault="00000000">
            <w:pPr>
              <w:spacing w:after="120"/>
            </w:pPr>
            <w:r w:rsidRPr="00312DFD">
              <w:rPr>
                <w:i/>
                <w:iCs/>
                <w:color w:val="2A2A3E"/>
              </w:rPr>
              <w:t>"I am unable to pay in to my account as I have tremors and cannot hold a cheque for it to be photographed. My wife has the same issue. We should be able to do this privately and do not want to ask our neighbours to do this for us. I don't think banks realise the problems they cause."</w:t>
            </w:r>
          </w:p>
          <w:p w14:paraId="17371EAF" w14:textId="77777777" w:rsidR="00666DD3" w:rsidRPr="00312DFD" w:rsidRDefault="00000000">
            <w:r w:rsidRPr="00312DFD">
              <w:rPr>
                <w:color w:val="6B7A8D"/>
                <w:sz w:val="20"/>
                <w:szCs w:val="20"/>
              </w:rPr>
              <w:t>— Hornsea resident</w:t>
            </w:r>
          </w:p>
        </w:tc>
      </w:tr>
    </w:tbl>
    <w:p w14:paraId="0F542E4D" w14:textId="77777777" w:rsidR="00666DD3" w:rsidRPr="00312DFD" w:rsidRDefault="00666DD3">
      <w:pPr>
        <w:spacing w:after="80"/>
      </w:pPr>
    </w:p>
    <w:p w14:paraId="2B80EC7B" w14:textId="77777777" w:rsidR="00666DD3" w:rsidRPr="00312DFD" w:rsidRDefault="00000000">
      <w:pPr>
        <w:spacing w:before="320" w:after="160"/>
      </w:pPr>
      <w:r w:rsidRPr="00312DFD">
        <w:rPr>
          <w:b/>
          <w:bCs/>
          <w:color w:val="1A3A5C"/>
          <w:sz w:val="26"/>
          <w:szCs w:val="26"/>
        </w:rPr>
        <w:t>Travel Burden</w:t>
      </w:r>
    </w:p>
    <w:p w14:paraId="0BFD007B" w14:textId="77777777" w:rsidR="00666DD3" w:rsidRPr="00312DFD" w:rsidRDefault="00000000">
      <w:pPr>
        <w:spacing w:after="180"/>
      </w:pPr>
      <w:r w:rsidRPr="00312DFD">
        <w:rPr>
          <w:color w:val="1A1A2E"/>
        </w:rPr>
        <w:lastRenderedPageBreak/>
        <w:t>For services the hubs cannot provide — complex transactions, specialist queries, certain account types, foreign currency — residents must travel to Hull. This is a significant burden for those without a car, with limited mobility, or who rely on public transport.</w:t>
      </w:r>
    </w:p>
    <w:p w14:paraId="04082157"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0E001745"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46F3B1FD" w14:textId="77777777" w:rsidR="00666DD3" w:rsidRPr="00312DFD" w:rsidRDefault="00000000">
            <w:r w:rsidRPr="00312DFD">
              <w:rPr>
                <w:i/>
                <w:iCs/>
                <w:color w:val="2A2A3E"/>
              </w:rPr>
              <w:t>"Face-to-face consultation now requiring an expensive, time-consuming journey to Hull."</w:t>
            </w:r>
          </w:p>
        </w:tc>
      </w:tr>
    </w:tbl>
    <w:p w14:paraId="34897C2C"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1672D0FE"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196D701D" w14:textId="77777777" w:rsidR="00666DD3" w:rsidRPr="00312DFD" w:rsidRDefault="00000000">
            <w:r w:rsidRPr="00312DFD">
              <w:rPr>
                <w:i/>
                <w:iCs/>
                <w:color w:val="2A2A3E"/>
              </w:rPr>
              <w:t>"Have to travel 20 miles to access some banking requirements!"</w:t>
            </w:r>
          </w:p>
        </w:tc>
      </w:tr>
    </w:tbl>
    <w:p w14:paraId="4DC86C8D" w14:textId="77777777" w:rsidR="00666DD3" w:rsidRPr="00312DFD" w:rsidRDefault="00666DD3">
      <w:pPr>
        <w:spacing w:after="160"/>
      </w:pPr>
    </w:p>
    <w:p w14:paraId="1CF9339E" w14:textId="77777777" w:rsidR="00666DD3" w:rsidRPr="00312DFD" w:rsidRDefault="00666DD3">
      <w:pPr>
        <w:pageBreakBefore/>
      </w:pPr>
    </w:p>
    <w:p w14:paraId="1F3DF870" w14:textId="77777777" w:rsidR="00666DD3" w:rsidRPr="00312DFD" w:rsidRDefault="00000000">
      <w:pPr>
        <w:pBdr>
          <w:bottom w:val="single" w:sz="8" w:space="4" w:color="E8943A"/>
        </w:pBdr>
        <w:spacing w:before="400" w:after="200"/>
      </w:pPr>
      <w:r w:rsidRPr="00312DFD">
        <w:rPr>
          <w:b/>
          <w:bCs/>
          <w:color w:val="0A1628"/>
          <w:sz w:val="32"/>
          <w:szCs w:val="32"/>
        </w:rPr>
        <w:t>Positive Feedback</w:t>
      </w:r>
    </w:p>
    <w:p w14:paraId="27709178" w14:textId="77777777" w:rsidR="00666DD3" w:rsidRPr="00312DFD" w:rsidRDefault="00000000">
      <w:pPr>
        <w:spacing w:after="180"/>
      </w:pPr>
      <w:r w:rsidRPr="00312DFD">
        <w:rPr>
          <w:color w:val="1A1A2E"/>
        </w:rPr>
        <w:t>A significant number of respondents reported positive experiences, particularly at the Withernsea Banking Hub. The presence of a dedicated bank adviser and the helpfulness of hub staff were highlighted.</w:t>
      </w:r>
    </w:p>
    <w:p w14:paraId="24896596"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3A7BE1B4"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460AFFC9" w14:textId="77777777" w:rsidR="00666DD3" w:rsidRPr="00312DFD" w:rsidRDefault="00000000">
            <w:pPr>
              <w:spacing w:after="120"/>
            </w:pPr>
            <w:r w:rsidRPr="00312DFD">
              <w:rPr>
                <w:i/>
                <w:iCs/>
                <w:color w:val="2A2A3E"/>
              </w:rPr>
              <w:t xml:space="preserve">"The Withernsea banking hub is brilliant. There is a Lloyds adviser there on Tuesday and he helped me with a difficult personal financial problem recently. You may have to wait a short time to see the </w:t>
            </w:r>
            <w:proofErr w:type="gramStart"/>
            <w:r w:rsidRPr="00312DFD">
              <w:rPr>
                <w:i/>
                <w:iCs/>
                <w:color w:val="2A2A3E"/>
              </w:rPr>
              <w:t>adviser</w:t>
            </w:r>
            <w:proofErr w:type="gramEnd"/>
            <w:r w:rsidRPr="00312DFD">
              <w:rPr>
                <w:i/>
                <w:iCs/>
                <w:color w:val="2A2A3E"/>
              </w:rPr>
              <w:t xml:space="preserve"> but you would not expect to walk into a doctor's surgery and be seen immediately. The staff are friendly and helpful."</w:t>
            </w:r>
          </w:p>
          <w:p w14:paraId="2F03A91F" w14:textId="77777777" w:rsidR="00666DD3" w:rsidRPr="00312DFD" w:rsidRDefault="00000000">
            <w:r w:rsidRPr="00312DFD">
              <w:rPr>
                <w:color w:val="6B7A8D"/>
                <w:sz w:val="20"/>
                <w:szCs w:val="20"/>
              </w:rPr>
              <w:t>— Withernsea resident</w:t>
            </w:r>
          </w:p>
        </w:tc>
      </w:tr>
    </w:tbl>
    <w:p w14:paraId="3D8E8F42"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14B0F99F"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211A9ACA" w14:textId="77777777" w:rsidR="00666DD3" w:rsidRPr="00312DFD" w:rsidRDefault="00000000">
            <w:r w:rsidRPr="00312DFD">
              <w:rPr>
                <w:i/>
                <w:iCs/>
                <w:color w:val="2A2A3E"/>
              </w:rPr>
              <w:t>"No problems — I use it weekly."</w:t>
            </w:r>
          </w:p>
        </w:tc>
      </w:tr>
    </w:tbl>
    <w:p w14:paraId="6465121D" w14:textId="77777777" w:rsidR="00666DD3" w:rsidRPr="00312DFD" w:rsidRDefault="00666DD3">
      <w:pPr>
        <w:spacing w:after="4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6DD3" w:rsidRPr="00312DFD" w14:paraId="622B69D7" w14:textId="77777777">
        <w:tblPrEx>
          <w:tblCellMar>
            <w:top w:w="0" w:type="dxa"/>
            <w:bottom w:w="0" w:type="dxa"/>
          </w:tblCellMar>
        </w:tblPrEx>
        <w:tc>
          <w:tcPr>
            <w:tcW w:w="9026" w:type="dxa"/>
            <w:tcBorders>
              <w:top w:val="none" w:sz="0" w:space="0" w:color="FFFFFF"/>
              <w:left w:val="single" w:sz="12" w:space="0" w:color="E8943A"/>
              <w:bottom w:val="none" w:sz="0" w:space="0" w:color="FFFFFF"/>
              <w:right w:val="none" w:sz="0" w:space="0" w:color="FFFFFF"/>
            </w:tcBorders>
            <w:shd w:val="clear" w:color="auto" w:fill="F8F4EE"/>
            <w:tcMar>
              <w:top w:w="160" w:type="dxa"/>
              <w:left w:w="240" w:type="dxa"/>
              <w:bottom w:w="160" w:type="dxa"/>
              <w:right w:w="240" w:type="dxa"/>
            </w:tcMar>
          </w:tcPr>
          <w:p w14:paraId="1474DC12" w14:textId="77777777" w:rsidR="00666DD3" w:rsidRPr="00312DFD" w:rsidRDefault="00000000">
            <w:r w:rsidRPr="00312DFD">
              <w:rPr>
                <w:i/>
                <w:iCs/>
                <w:color w:val="2A2A3E"/>
              </w:rPr>
              <w:t>"The cash hub in Hedon has been great."</w:t>
            </w:r>
          </w:p>
        </w:tc>
      </w:tr>
    </w:tbl>
    <w:p w14:paraId="36884C00" w14:textId="77777777" w:rsidR="00666DD3" w:rsidRPr="00312DFD" w:rsidRDefault="00666DD3">
      <w:pPr>
        <w:spacing w:after="80"/>
      </w:pPr>
    </w:p>
    <w:p w14:paraId="25D86F3F" w14:textId="77777777" w:rsidR="00666DD3" w:rsidRPr="00312DFD" w:rsidRDefault="00000000">
      <w:pPr>
        <w:pBdr>
          <w:bottom w:val="single" w:sz="8" w:space="4" w:color="E8943A"/>
        </w:pBdr>
        <w:spacing w:before="400" w:after="200"/>
      </w:pPr>
      <w:r w:rsidRPr="00312DFD">
        <w:rPr>
          <w:b/>
          <w:bCs/>
          <w:color w:val="0A1628"/>
          <w:sz w:val="32"/>
          <w:szCs w:val="32"/>
        </w:rPr>
        <w:t>Bank Breakdown</w:t>
      </w:r>
    </w:p>
    <w:p w14:paraId="7B309628" w14:textId="77777777" w:rsidR="00666DD3" w:rsidRPr="00312DFD" w:rsidRDefault="00000000">
      <w:pPr>
        <w:spacing w:after="180"/>
      </w:pPr>
      <w:r w:rsidRPr="00312DFD">
        <w:rPr>
          <w:color w:val="1A1A2E"/>
        </w:rPr>
        <w:t xml:space="preserve">Residents bank with a wide range of providers. </w:t>
      </w:r>
      <w:proofErr w:type="gramStart"/>
      <w:r w:rsidRPr="00312DFD">
        <w:rPr>
          <w:color w:val="1A1A2E"/>
        </w:rPr>
        <w:t>Lloyds</w:t>
      </w:r>
      <w:proofErr w:type="gramEnd"/>
      <w:r w:rsidRPr="00312DFD">
        <w:rPr>
          <w:color w:val="1A1A2E"/>
        </w:rPr>
        <w:t xml:space="preserve"> customers make up the largest single group, followed by HSBC and Santander. Some residents bank with more than one provider.</w:t>
      </w:r>
    </w:p>
    <w:p w14:paraId="11FD674F" w14:textId="77777777" w:rsidR="00666DD3" w:rsidRPr="00312DFD" w:rsidRDefault="00666DD3">
      <w:pPr>
        <w:spacing w:after="12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93"/>
        <w:gridCol w:w="4280"/>
        <w:gridCol w:w="3353"/>
      </w:tblGrid>
      <w:tr w:rsidR="00666DD3" w:rsidRPr="00312DFD" w14:paraId="26CDDCD9"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170EF08" w14:textId="77777777" w:rsidR="00666DD3" w:rsidRPr="00312DFD" w:rsidRDefault="00000000">
            <w:r w:rsidRPr="00312DFD">
              <w:rPr>
                <w:color w:val="1A1A2E"/>
                <w:sz w:val="20"/>
                <w:szCs w:val="20"/>
              </w:rPr>
              <w:t>Lloyds</w:t>
            </w:r>
          </w:p>
        </w:tc>
        <w:tc>
          <w:tcPr>
            <w:tcW w:w="4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tbl>
            <w:tblPr>
              <w:tblW w:w="4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00"/>
            </w:tblGrid>
            <w:tr w:rsidR="00666DD3" w:rsidRPr="00312DFD" w14:paraId="7E927CD9" w14:textId="77777777">
              <w:tblPrEx>
                <w:tblCellMar>
                  <w:top w:w="0" w:type="dxa"/>
                  <w:bottom w:w="0" w:type="dxa"/>
                </w:tblCellMar>
              </w:tblPrEx>
              <w:tc>
                <w:tcPr>
                  <w:tcW w:w="4000" w:type="dxa"/>
                  <w:tcBorders>
                    <w:top w:val="none" w:sz="0" w:space="0" w:color="FFFFFF"/>
                    <w:left w:val="none" w:sz="0" w:space="0" w:color="FFFFFF"/>
                    <w:bottom w:val="none" w:sz="0" w:space="0" w:color="FFFFFF"/>
                    <w:right w:val="none" w:sz="0" w:space="0" w:color="FFFFFF"/>
                  </w:tcBorders>
                  <w:shd w:val="clear" w:color="auto" w:fill="2A5A8C"/>
                </w:tcPr>
                <w:p w14:paraId="248EDBA0" w14:textId="77777777" w:rsidR="00666DD3" w:rsidRPr="00312DFD" w:rsidRDefault="00666DD3">
                  <w:pPr>
                    <w:spacing w:before="80" w:after="80"/>
                  </w:pPr>
                </w:p>
              </w:tc>
              <w:tc>
                <w:tcPr>
                  <w:tcW w:w="200" w:type="dxa"/>
                  <w:tcBorders>
                    <w:top w:val="none" w:sz="0" w:space="0" w:color="FFFFFF"/>
                    <w:left w:val="none" w:sz="0" w:space="0" w:color="FFFFFF"/>
                    <w:bottom w:val="none" w:sz="0" w:space="0" w:color="FFFFFF"/>
                    <w:right w:val="none" w:sz="0" w:space="0" w:color="FFFFFF"/>
                  </w:tcBorders>
                  <w:shd w:val="clear" w:color="auto" w:fill="F0F4F8"/>
                </w:tcPr>
                <w:p w14:paraId="178C5B2D" w14:textId="77777777" w:rsidR="00666DD3" w:rsidRPr="00312DFD" w:rsidRDefault="00666DD3">
                  <w:pPr>
                    <w:spacing w:before="80" w:after="80"/>
                  </w:pPr>
                </w:p>
              </w:tc>
            </w:tr>
          </w:tbl>
          <w:p w14:paraId="54CC972D" w14:textId="77777777" w:rsidR="00666DD3" w:rsidRPr="00312DFD" w:rsidRDefault="00666DD3"/>
        </w:tc>
        <w:tc>
          <w:tcPr>
            <w:tcW w:w="34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47D08D69" w14:textId="77777777" w:rsidR="00666DD3" w:rsidRPr="00312DFD" w:rsidRDefault="00000000">
            <w:r w:rsidRPr="00312DFD">
              <w:rPr>
                <w:b/>
                <w:bCs/>
                <w:color w:val="1A3A5C"/>
                <w:sz w:val="20"/>
                <w:szCs w:val="20"/>
              </w:rPr>
              <w:t>68</w:t>
            </w:r>
          </w:p>
        </w:tc>
      </w:tr>
      <w:tr w:rsidR="00666DD3" w:rsidRPr="00312DFD" w14:paraId="2405E2DB"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429E334B" w14:textId="77777777" w:rsidR="00666DD3" w:rsidRPr="00312DFD" w:rsidRDefault="00000000">
            <w:r w:rsidRPr="00312DFD">
              <w:rPr>
                <w:color w:val="1A1A2E"/>
                <w:sz w:val="20"/>
                <w:szCs w:val="20"/>
              </w:rPr>
              <w:t>HSBC</w:t>
            </w:r>
          </w:p>
        </w:tc>
        <w:tc>
          <w:tcPr>
            <w:tcW w:w="4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tbl>
            <w:tblPr>
              <w:tblW w:w="4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3"/>
              <w:gridCol w:w="2847"/>
            </w:tblGrid>
            <w:tr w:rsidR="00666DD3" w:rsidRPr="00312DFD" w14:paraId="645D51B2" w14:textId="77777777">
              <w:tblPrEx>
                <w:tblCellMar>
                  <w:top w:w="0" w:type="dxa"/>
                  <w:bottom w:w="0" w:type="dxa"/>
                </w:tblCellMar>
              </w:tblPrEx>
              <w:tc>
                <w:tcPr>
                  <w:tcW w:w="1353" w:type="dxa"/>
                  <w:tcBorders>
                    <w:top w:val="none" w:sz="0" w:space="0" w:color="FFFFFF"/>
                    <w:left w:val="none" w:sz="0" w:space="0" w:color="FFFFFF"/>
                    <w:bottom w:val="none" w:sz="0" w:space="0" w:color="FFFFFF"/>
                    <w:right w:val="none" w:sz="0" w:space="0" w:color="FFFFFF"/>
                  </w:tcBorders>
                  <w:shd w:val="clear" w:color="auto" w:fill="2A5A8C"/>
                </w:tcPr>
                <w:p w14:paraId="4A22A281" w14:textId="77777777" w:rsidR="00666DD3" w:rsidRPr="00312DFD" w:rsidRDefault="00666DD3">
                  <w:pPr>
                    <w:spacing w:before="80" w:after="80"/>
                  </w:pPr>
                </w:p>
              </w:tc>
              <w:tc>
                <w:tcPr>
                  <w:tcW w:w="2847" w:type="dxa"/>
                  <w:tcBorders>
                    <w:top w:val="none" w:sz="0" w:space="0" w:color="FFFFFF"/>
                    <w:left w:val="none" w:sz="0" w:space="0" w:color="FFFFFF"/>
                    <w:bottom w:val="none" w:sz="0" w:space="0" w:color="FFFFFF"/>
                    <w:right w:val="none" w:sz="0" w:space="0" w:color="FFFFFF"/>
                  </w:tcBorders>
                  <w:shd w:val="clear" w:color="auto" w:fill="F0F4F8"/>
                </w:tcPr>
                <w:p w14:paraId="2DC11C09" w14:textId="77777777" w:rsidR="00666DD3" w:rsidRPr="00312DFD" w:rsidRDefault="00666DD3">
                  <w:pPr>
                    <w:spacing w:before="80" w:after="80"/>
                  </w:pPr>
                </w:p>
              </w:tc>
            </w:tr>
          </w:tbl>
          <w:p w14:paraId="6B13FDFE" w14:textId="77777777" w:rsidR="00666DD3" w:rsidRPr="00312DFD" w:rsidRDefault="00666DD3"/>
        </w:tc>
        <w:tc>
          <w:tcPr>
            <w:tcW w:w="34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7903DB6D" w14:textId="77777777" w:rsidR="00666DD3" w:rsidRPr="00312DFD" w:rsidRDefault="00000000">
            <w:r w:rsidRPr="00312DFD">
              <w:rPr>
                <w:b/>
                <w:bCs/>
                <w:color w:val="1A3A5C"/>
                <w:sz w:val="20"/>
                <w:szCs w:val="20"/>
              </w:rPr>
              <w:t>23</w:t>
            </w:r>
          </w:p>
        </w:tc>
      </w:tr>
      <w:tr w:rsidR="00666DD3" w:rsidRPr="00312DFD" w14:paraId="2899FF58"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0DCA196" w14:textId="77777777" w:rsidR="00666DD3" w:rsidRPr="00312DFD" w:rsidRDefault="00000000">
            <w:r w:rsidRPr="00312DFD">
              <w:rPr>
                <w:color w:val="1A1A2E"/>
                <w:sz w:val="20"/>
                <w:szCs w:val="20"/>
              </w:rPr>
              <w:t>Santander</w:t>
            </w:r>
          </w:p>
        </w:tc>
        <w:tc>
          <w:tcPr>
            <w:tcW w:w="4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tbl>
            <w:tblPr>
              <w:tblW w:w="4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9"/>
              <w:gridCol w:w="3141"/>
            </w:tblGrid>
            <w:tr w:rsidR="00666DD3" w:rsidRPr="00312DFD" w14:paraId="774905BE" w14:textId="77777777">
              <w:tblPrEx>
                <w:tblCellMar>
                  <w:top w:w="0" w:type="dxa"/>
                  <w:bottom w:w="0" w:type="dxa"/>
                </w:tblCellMar>
              </w:tblPrEx>
              <w:tc>
                <w:tcPr>
                  <w:tcW w:w="1059" w:type="dxa"/>
                  <w:tcBorders>
                    <w:top w:val="none" w:sz="0" w:space="0" w:color="FFFFFF"/>
                    <w:left w:val="none" w:sz="0" w:space="0" w:color="FFFFFF"/>
                    <w:bottom w:val="none" w:sz="0" w:space="0" w:color="FFFFFF"/>
                    <w:right w:val="none" w:sz="0" w:space="0" w:color="FFFFFF"/>
                  </w:tcBorders>
                  <w:shd w:val="clear" w:color="auto" w:fill="2A5A8C"/>
                </w:tcPr>
                <w:p w14:paraId="7B2FA98A" w14:textId="77777777" w:rsidR="00666DD3" w:rsidRPr="00312DFD" w:rsidRDefault="00666DD3">
                  <w:pPr>
                    <w:spacing w:before="80" w:after="80"/>
                  </w:pPr>
                </w:p>
              </w:tc>
              <w:tc>
                <w:tcPr>
                  <w:tcW w:w="3141" w:type="dxa"/>
                  <w:tcBorders>
                    <w:top w:val="none" w:sz="0" w:space="0" w:color="FFFFFF"/>
                    <w:left w:val="none" w:sz="0" w:space="0" w:color="FFFFFF"/>
                    <w:bottom w:val="none" w:sz="0" w:space="0" w:color="FFFFFF"/>
                    <w:right w:val="none" w:sz="0" w:space="0" w:color="FFFFFF"/>
                  </w:tcBorders>
                  <w:shd w:val="clear" w:color="auto" w:fill="F0F4F8"/>
                </w:tcPr>
                <w:p w14:paraId="6E882038" w14:textId="77777777" w:rsidR="00666DD3" w:rsidRPr="00312DFD" w:rsidRDefault="00666DD3">
                  <w:pPr>
                    <w:spacing w:before="80" w:after="80"/>
                  </w:pPr>
                </w:p>
              </w:tc>
            </w:tr>
          </w:tbl>
          <w:p w14:paraId="476E3E89" w14:textId="77777777" w:rsidR="00666DD3" w:rsidRPr="00312DFD" w:rsidRDefault="00666DD3"/>
        </w:tc>
        <w:tc>
          <w:tcPr>
            <w:tcW w:w="34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6B61F8FD" w14:textId="77777777" w:rsidR="00666DD3" w:rsidRPr="00312DFD" w:rsidRDefault="00000000">
            <w:r w:rsidRPr="00312DFD">
              <w:rPr>
                <w:b/>
                <w:bCs/>
                <w:color w:val="1A3A5C"/>
                <w:sz w:val="20"/>
                <w:szCs w:val="20"/>
              </w:rPr>
              <w:t>18</w:t>
            </w:r>
          </w:p>
        </w:tc>
      </w:tr>
      <w:tr w:rsidR="00666DD3" w:rsidRPr="00312DFD" w14:paraId="0F754EA2"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36E588FE" w14:textId="77777777" w:rsidR="00666DD3" w:rsidRPr="00312DFD" w:rsidRDefault="00000000">
            <w:r w:rsidRPr="00312DFD">
              <w:rPr>
                <w:color w:val="1A1A2E"/>
                <w:sz w:val="20"/>
                <w:szCs w:val="20"/>
              </w:rPr>
              <w:t>Halifax</w:t>
            </w:r>
          </w:p>
        </w:tc>
        <w:tc>
          <w:tcPr>
            <w:tcW w:w="4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tbl>
            <w:tblPr>
              <w:tblW w:w="4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3376"/>
            </w:tblGrid>
            <w:tr w:rsidR="00666DD3" w:rsidRPr="00312DFD" w14:paraId="51CA92B8" w14:textId="77777777">
              <w:tblPrEx>
                <w:tblCellMar>
                  <w:top w:w="0" w:type="dxa"/>
                  <w:bottom w:w="0" w:type="dxa"/>
                </w:tblCellMar>
              </w:tblPrEx>
              <w:tc>
                <w:tcPr>
                  <w:tcW w:w="824" w:type="dxa"/>
                  <w:tcBorders>
                    <w:top w:val="none" w:sz="0" w:space="0" w:color="FFFFFF"/>
                    <w:left w:val="none" w:sz="0" w:space="0" w:color="FFFFFF"/>
                    <w:bottom w:val="none" w:sz="0" w:space="0" w:color="FFFFFF"/>
                    <w:right w:val="none" w:sz="0" w:space="0" w:color="FFFFFF"/>
                  </w:tcBorders>
                  <w:shd w:val="clear" w:color="auto" w:fill="2A5A8C"/>
                </w:tcPr>
                <w:p w14:paraId="1EC550B1" w14:textId="77777777" w:rsidR="00666DD3" w:rsidRPr="00312DFD" w:rsidRDefault="00666DD3">
                  <w:pPr>
                    <w:spacing w:before="80" w:after="80"/>
                  </w:pPr>
                </w:p>
              </w:tc>
              <w:tc>
                <w:tcPr>
                  <w:tcW w:w="3376" w:type="dxa"/>
                  <w:tcBorders>
                    <w:top w:val="none" w:sz="0" w:space="0" w:color="FFFFFF"/>
                    <w:left w:val="none" w:sz="0" w:space="0" w:color="FFFFFF"/>
                    <w:bottom w:val="none" w:sz="0" w:space="0" w:color="FFFFFF"/>
                    <w:right w:val="none" w:sz="0" w:space="0" w:color="FFFFFF"/>
                  </w:tcBorders>
                  <w:shd w:val="clear" w:color="auto" w:fill="F0F4F8"/>
                </w:tcPr>
                <w:p w14:paraId="12B556AB" w14:textId="77777777" w:rsidR="00666DD3" w:rsidRPr="00312DFD" w:rsidRDefault="00666DD3">
                  <w:pPr>
                    <w:spacing w:before="80" w:after="80"/>
                  </w:pPr>
                </w:p>
              </w:tc>
            </w:tr>
          </w:tbl>
          <w:p w14:paraId="636B8A50" w14:textId="77777777" w:rsidR="00666DD3" w:rsidRPr="00312DFD" w:rsidRDefault="00666DD3"/>
        </w:tc>
        <w:tc>
          <w:tcPr>
            <w:tcW w:w="34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2FA6075D" w14:textId="77777777" w:rsidR="00666DD3" w:rsidRPr="00312DFD" w:rsidRDefault="00000000">
            <w:r w:rsidRPr="00312DFD">
              <w:rPr>
                <w:b/>
                <w:bCs/>
                <w:color w:val="1A3A5C"/>
                <w:sz w:val="20"/>
                <w:szCs w:val="20"/>
              </w:rPr>
              <w:t>14</w:t>
            </w:r>
          </w:p>
        </w:tc>
      </w:tr>
      <w:tr w:rsidR="00666DD3" w:rsidRPr="00312DFD" w14:paraId="4EC774AF"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2565A25" w14:textId="77777777" w:rsidR="00666DD3" w:rsidRPr="00312DFD" w:rsidRDefault="00000000">
            <w:r w:rsidRPr="00312DFD">
              <w:rPr>
                <w:color w:val="1A1A2E"/>
                <w:sz w:val="20"/>
                <w:szCs w:val="20"/>
              </w:rPr>
              <w:t>Nationwide</w:t>
            </w:r>
          </w:p>
        </w:tc>
        <w:tc>
          <w:tcPr>
            <w:tcW w:w="4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tbl>
            <w:tblPr>
              <w:tblW w:w="4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8"/>
              <w:gridCol w:w="3612"/>
            </w:tblGrid>
            <w:tr w:rsidR="00666DD3" w:rsidRPr="00312DFD" w14:paraId="45E777CE" w14:textId="77777777">
              <w:tblPrEx>
                <w:tblCellMar>
                  <w:top w:w="0" w:type="dxa"/>
                  <w:bottom w:w="0" w:type="dxa"/>
                </w:tblCellMar>
              </w:tblPrEx>
              <w:tc>
                <w:tcPr>
                  <w:tcW w:w="588" w:type="dxa"/>
                  <w:tcBorders>
                    <w:top w:val="none" w:sz="0" w:space="0" w:color="FFFFFF"/>
                    <w:left w:val="none" w:sz="0" w:space="0" w:color="FFFFFF"/>
                    <w:bottom w:val="none" w:sz="0" w:space="0" w:color="FFFFFF"/>
                    <w:right w:val="none" w:sz="0" w:space="0" w:color="FFFFFF"/>
                  </w:tcBorders>
                  <w:shd w:val="clear" w:color="auto" w:fill="2A5A8C"/>
                </w:tcPr>
                <w:p w14:paraId="65CD073E" w14:textId="77777777" w:rsidR="00666DD3" w:rsidRPr="00312DFD" w:rsidRDefault="00666DD3">
                  <w:pPr>
                    <w:spacing w:before="80" w:after="80"/>
                  </w:pPr>
                </w:p>
              </w:tc>
              <w:tc>
                <w:tcPr>
                  <w:tcW w:w="3612" w:type="dxa"/>
                  <w:tcBorders>
                    <w:top w:val="none" w:sz="0" w:space="0" w:color="FFFFFF"/>
                    <w:left w:val="none" w:sz="0" w:space="0" w:color="FFFFFF"/>
                    <w:bottom w:val="none" w:sz="0" w:space="0" w:color="FFFFFF"/>
                    <w:right w:val="none" w:sz="0" w:space="0" w:color="FFFFFF"/>
                  </w:tcBorders>
                  <w:shd w:val="clear" w:color="auto" w:fill="F0F4F8"/>
                </w:tcPr>
                <w:p w14:paraId="059BD282" w14:textId="77777777" w:rsidR="00666DD3" w:rsidRPr="00312DFD" w:rsidRDefault="00666DD3">
                  <w:pPr>
                    <w:spacing w:before="80" w:after="80"/>
                  </w:pPr>
                </w:p>
              </w:tc>
            </w:tr>
          </w:tbl>
          <w:p w14:paraId="5BEBE49D" w14:textId="77777777" w:rsidR="00666DD3" w:rsidRPr="00312DFD" w:rsidRDefault="00666DD3"/>
        </w:tc>
        <w:tc>
          <w:tcPr>
            <w:tcW w:w="34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03AE3F85" w14:textId="77777777" w:rsidR="00666DD3" w:rsidRPr="00312DFD" w:rsidRDefault="00000000">
            <w:r w:rsidRPr="00312DFD">
              <w:rPr>
                <w:b/>
                <w:bCs/>
                <w:color w:val="1A3A5C"/>
                <w:sz w:val="20"/>
                <w:szCs w:val="20"/>
              </w:rPr>
              <w:t>10</w:t>
            </w:r>
          </w:p>
        </w:tc>
      </w:tr>
      <w:tr w:rsidR="00666DD3" w:rsidRPr="00312DFD" w14:paraId="323136B0"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54D42D39" w14:textId="77777777" w:rsidR="00666DD3" w:rsidRPr="00312DFD" w:rsidRDefault="00000000">
            <w:r w:rsidRPr="00312DFD">
              <w:rPr>
                <w:color w:val="1A1A2E"/>
                <w:sz w:val="20"/>
                <w:szCs w:val="20"/>
              </w:rPr>
              <w:t>NatWest</w:t>
            </w:r>
          </w:p>
        </w:tc>
        <w:tc>
          <w:tcPr>
            <w:tcW w:w="4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tbl>
            <w:tblPr>
              <w:tblW w:w="4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
              <w:gridCol w:w="3671"/>
            </w:tblGrid>
            <w:tr w:rsidR="00666DD3" w:rsidRPr="00312DFD" w14:paraId="2D70852C" w14:textId="77777777">
              <w:tblPrEx>
                <w:tblCellMar>
                  <w:top w:w="0" w:type="dxa"/>
                  <w:bottom w:w="0" w:type="dxa"/>
                </w:tblCellMar>
              </w:tblPrEx>
              <w:tc>
                <w:tcPr>
                  <w:tcW w:w="529" w:type="dxa"/>
                  <w:tcBorders>
                    <w:top w:val="none" w:sz="0" w:space="0" w:color="FFFFFF"/>
                    <w:left w:val="none" w:sz="0" w:space="0" w:color="FFFFFF"/>
                    <w:bottom w:val="none" w:sz="0" w:space="0" w:color="FFFFFF"/>
                    <w:right w:val="none" w:sz="0" w:space="0" w:color="FFFFFF"/>
                  </w:tcBorders>
                  <w:shd w:val="clear" w:color="auto" w:fill="2A5A8C"/>
                </w:tcPr>
                <w:p w14:paraId="6AD7C0C4" w14:textId="77777777" w:rsidR="00666DD3" w:rsidRPr="00312DFD" w:rsidRDefault="00666DD3">
                  <w:pPr>
                    <w:spacing w:before="80" w:after="80"/>
                  </w:pPr>
                </w:p>
              </w:tc>
              <w:tc>
                <w:tcPr>
                  <w:tcW w:w="3671" w:type="dxa"/>
                  <w:tcBorders>
                    <w:top w:val="none" w:sz="0" w:space="0" w:color="FFFFFF"/>
                    <w:left w:val="none" w:sz="0" w:space="0" w:color="FFFFFF"/>
                    <w:bottom w:val="none" w:sz="0" w:space="0" w:color="FFFFFF"/>
                    <w:right w:val="none" w:sz="0" w:space="0" w:color="FFFFFF"/>
                  </w:tcBorders>
                  <w:shd w:val="clear" w:color="auto" w:fill="F0F4F8"/>
                </w:tcPr>
                <w:p w14:paraId="720B0FF8" w14:textId="77777777" w:rsidR="00666DD3" w:rsidRPr="00312DFD" w:rsidRDefault="00666DD3">
                  <w:pPr>
                    <w:spacing w:before="80" w:after="80"/>
                  </w:pPr>
                </w:p>
              </w:tc>
            </w:tr>
          </w:tbl>
          <w:p w14:paraId="50B1A800" w14:textId="77777777" w:rsidR="00666DD3" w:rsidRPr="00312DFD" w:rsidRDefault="00666DD3"/>
        </w:tc>
        <w:tc>
          <w:tcPr>
            <w:tcW w:w="34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4A86D89F" w14:textId="77777777" w:rsidR="00666DD3" w:rsidRPr="00312DFD" w:rsidRDefault="00000000">
            <w:r w:rsidRPr="00312DFD">
              <w:rPr>
                <w:b/>
                <w:bCs/>
                <w:color w:val="1A3A5C"/>
                <w:sz w:val="20"/>
                <w:szCs w:val="20"/>
              </w:rPr>
              <w:t>9</w:t>
            </w:r>
          </w:p>
        </w:tc>
      </w:tr>
      <w:tr w:rsidR="00666DD3" w:rsidRPr="00312DFD" w14:paraId="7388CB81"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50BB922" w14:textId="77777777" w:rsidR="00666DD3" w:rsidRPr="00312DFD" w:rsidRDefault="00000000">
            <w:r w:rsidRPr="00312DFD">
              <w:rPr>
                <w:color w:val="1A1A2E"/>
                <w:sz w:val="20"/>
                <w:szCs w:val="20"/>
              </w:rPr>
              <w:t>Barclays</w:t>
            </w:r>
          </w:p>
        </w:tc>
        <w:tc>
          <w:tcPr>
            <w:tcW w:w="42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tbl>
            <w:tblPr>
              <w:tblW w:w="42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2"/>
              <w:gridCol w:w="3788"/>
            </w:tblGrid>
            <w:tr w:rsidR="00666DD3" w:rsidRPr="00312DFD" w14:paraId="3814C78E" w14:textId="77777777">
              <w:tblPrEx>
                <w:tblCellMar>
                  <w:top w:w="0" w:type="dxa"/>
                  <w:bottom w:w="0" w:type="dxa"/>
                </w:tblCellMar>
              </w:tblPrEx>
              <w:tc>
                <w:tcPr>
                  <w:tcW w:w="412" w:type="dxa"/>
                  <w:tcBorders>
                    <w:top w:val="none" w:sz="0" w:space="0" w:color="FFFFFF"/>
                    <w:left w:val="none" w:sz="0" w:space="0" w:color="FFFFFF"/>
                    <w:bottom w:val="none" w:sz="0" w:space="0" w:color="FFFFFF"/>
                    <w:right w:val="none" w:sz="0" w:space="0" w:color="FFFFFF"/>
                  </w:tcBorders>
                  <w:shd w:val="clear" w:color="auto" w:fill="2A5A8C"/>
                </w:tcPr>
                <w:p w14:paraId="4DCA13DC" w14:textId="77777777" w:rsidR="00666DD3" w:rsidRPr="00312DFD" w:rsidRDefault="00666DD3">
                  <w:pPr>
                    <w:spacing w:before="80" w:after="80"/>
                  </w:pPr>
                </w:p>
              </w:tc>
              <w:tc>
                <w:tcPr>
                  <w:tcW w:w="3788" w:type="dxa"/>
                  <w:tcBorders>
                    <w:top w:val="none" w:sz="0" w:space="0" w:color="FFFFFF"/>
                    <w:left w:val="none" w:sz="0" w:space="0" w:color="FFFFFF"/>
                    <w:bottom w:val="none" w:sz="0" w:space="0" w:color="FFFFFF"/>
                    <w:right w:val="none" w:sz="0" w:space="0" w:color="FFFFFF"/>
                  </w:tcBorders>
                  <w:shd w:val="clear" w:color="auto" w:fill="F0F4F8"/>
                </w:tcPr>
                <w:p w14:paraId="5C68B5D6" w14:textId="77777777" w:rsidR="00666DD3" w:rsidRPr="00312DFD" w:rsidRDefault="00666DD3">
                  <w:pPr>
                    <w:spacing w:before="80" w:after="80"/>
                  </w:pPr>
                </w:p>
              </w:tc>
            </w:tr>
          </w:tbl>
          <w:p w14:paraId="1038733F" w14:textId="77777777" w:rsidR="00666DD3" w:rsidRPr="00312DFD" w:rsidRDefault="00666DD3"/>
        </w:tc>
        <w:tc>
          <w:tcPr>
            <w:tcW w:w="3426" w:type="dxa"/>
            <w:tcBorders>
              <w:top w:val="none" w:sz="0" w:space="0" w:color="FFFFFF"/>
              <w:left w:val="none" w:sz="0" w:space="0" w:color="FFFFFF"/>
              <w:bottom w:val="none" w:sz="0" w:space="0" w:color="FFFFFF"/>
              <w:right w:val="none" w:sz="0" w:space="0" w:color="FFFFFF"/>
            </w:tcBorders>
            <w:tcMar>
              <w:top w:w="60" w:type="dxa"/>
              <w:left w:w="80" w:type="dxa"/>
              <w:bottom w:w="60" w:type="dxa"/>
              <w:right w:w="0" w:type="dxa"/>
            </w:tcMar>
          </w:tcPr>
          <w:p w14:paraId="60A9F780" w14:textId="77777777" w:rsidR="00666DD3" w:rsidRPr="00312DFD" w:rsidRDefault="00000000">
            <w:r w:rsidRPr="00312DFD">
              <w:rPr>
                <w:b/>
                <w:bCs/>
                <w:color w:val="1A3A5C"/>
                <w:sz w:val="20"/>
                <w:szCs w:val="20"/>
              </w:rPr>
              <w:t>7</w:t>
            </w:r>
          </w:p>
        </w:tc>
      </w:tr>
    </w:tbl>
    <w:p w14:paraId="61F4042E" w14:textId="77777777" w:rsidR="00666DD3" w:rsidRPr="00312DFD" w:rsidRDefault="00666DD3">
      <w:pPr>
        <w:spacing w:after="120"/>
      </w:pPr>
    </w:p>
    <w:p w14:paraId="69513D56" w14:textId="77777777" w:rsidR="00666DD3" w:rsidRPr="00312DFD" w:rsidRDefault="00000000">
      <w:pPr>
        <w:spacing w:after="180"/>
      </w:pPr>
      <w:r w:rsidRPr="00312DFD">
        <w:rPr>
          <w:i/>
          <w:iCs/>
          <w:color w:val="1A1A2E"/>
        </w:rPr>
        <w:t>Note: figures reflect the number of respondents who bank with each provider. Some respondents use more than one bank.</w:t>
      </w:r>
    </w:p>
    <w:p w14:paraId="6CAB0A45" w14:textId="77777777" w:rsidR="00666DD3" w:rsidRPr="00312DFD" w:rsidRDefault="00666DD3">
      <w:pPr>
        <w:spacing w:after="160"/>
      </w:pPr>
    </w:p>
    <w:p w14:paraId="78B5E6D5" w14:textId="77777777" w:rsidR="00666DD3" w:rsidRPr="00312DFD" w:rsidRDefault="00666DD3">
      <w:pPr>
        <w:pageBreakBefore/>
      </w:pPr>
    </w:p>
    <w:p w14:paraId="75657DA0" w14:textId="77777777" w:rsidR="00666DD3" w:rsidRPr="00312DFD" w:rsidRDefault="00000000">
      <w:pPr>
        <w:pBdr>
          <w:bottom w:val="single" w:sz="8" w:space="4" w:color="E8943A"/>
        </w:pBdr>
        <w:spacing w:before="400" w:after="200"/>
      </w:pPr>
      <w:r w:rsidRPr="00312DFD">
        <w:rPr>
          <w:b/>
          <w:bCs/>
          <w:color w:val="0A1628"/>
          <w:sz w:val="32"/>
          <w:szCs w:val="32"/>
        </w:rPr>
        <w:t>Summary of Key Issues</w:t>
      </w:r>
    </w:p>
    <w:p w14:paraId="519153E4" w14:textId="77777777" w:rsidR="00666DD3" w:rsidRPr="00312DFD" w:rsidRDefault="00000000">
      <w:pPr>
        <w:spacing w:after="180"/>
      </w:pPr>
      <w:r w:rsidRPr="00312DFD">
        <w:rPr>
          <w:color w:val="1A1A2E"/>
        </w:rPr>
        <w:t>The survey evidence points to six areas where action or further attention would benefit residents:</w:t>
      </w:r>
    </w:p>
    <w:p w14:paraId="4F4C39E7" w14:textId="77777777" w:rsidR="00666DD3" w:rsidRPr="00312DFD" w:rsidRDefault="00666DD3">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3"/>
        <w:gridCol w:w="8663"/>
      </w:tblGrid>
      <w:tr w:rsidR="00666DD3" w:rsidRPr="00312DFD" w14:paraId="41559A6A" w14:textId="77777777">
        <w:tblPrEx>
          <w:tblCellMar>
            <w:top w:w="0" w:type="dxa"/>
            <w:bottom w:w="0" w:type="dxa"/>
          </w:tblCellMar>
        </w:tblPrEx>
        <w:tc>
          <w:tcPr>
            <w:tcW w:w="300" w:type="dxa"/>
            <w:tcBorders>
              <w:top w:val="single" w:sz="1" w:space="0" w:color="CCCCCC"/>
              <w:left w:val="single" w:sz="1" w:space="0" w:color="CCCCCC"/>
              <w:bottom w:val="single" w:sz="1" w:space="0" w:color="CCCCCC"/>
              <w:right w:val="single" w:sz="1" w:space="0" w:color="CCCCCC"/>
            </w:tcBorders>
            <w:shd w:val="clear" w:color="auto" w:fill="0A1628"/>
            <w:tcMar>
              <w:top w:w="120" w:type="dxa"/>
              <w:left w:w="120" w:type="dxa"/>
              <w:bottom w:w="120" w:type="dxa"/>
              <w:right w:w="120" w:type="dxa"/>
            </w:tcMar>
            <w:vAlign w:val="center"/>
          </w:tcPr>
          <w:p w14:paraId="3A563839" w14:textId="77777777" w:rsidR="00666DD3" w:rsidRPr="00312DFD" w:rsidRDefault="00000000">
            <w:pPr>
              <w:jc w:val="center"/>
            </w:pPr>
            <w:r w:rsidRPr="00312DFD">
              <w:rPr>
                <w:b/>
                <w:bCs/>
                <w:color w:val="F5B569"/>
              </w:rPr>
              <w:t>1</w:t>
            </w:r>
          </w:p>
        </w:tc>
        <w:tc>
          <w:tcPr>
            <w:tcW w:w="8726" w:type="dxa"/>
            <w:tcBorders>
              <w:top w:val="single" w:sz="1" w:space="0" w:color="CCCCCC"/>
              <w:left w:val="single" w:sz="1" w:space="0" w:color="CCCCCC"/>
              <w:bottom w:val="single" w:sz="1" w:space="0" w:color="CCCCCC"/>
              <w:right w:val="single" w:sz="1" w:space="0" w:color="CCCCCC"/>
            </w:tcBorders>
            <w:shd w:val="clear" w:color="auto" w:fill="F0F4F8"/>
            <w:tcMar>
              <w:top w:w="120" w:type="dxa"/>
              <w:left w:w="160" w:type="dxa"/>
              <w:bottom w:w="120" w:type="dxa"/>
              <w:right w:w="160" w:type="dxa"/>
            </w:tcMar>
          </w:tcPr>
          <w:p w14:paraId="18B7AC5D" w14:textId="77777777" w:rsidR="00666DD3" w:rsidRPr="00312DFD" w:rsidRDefault="00000000">
            <w:pPr>
              <w:spacing w:after="80"/>
            </w:pPr>
            <w:r w:rsidRPr="00312DFD">
              <w:rPr>
                <w:b/>
                <w:bCs/>
                <w:color w:val="0A1628"/>
              </w:rPr>
              <w:t>ATM coverage and reliability</w:t>
            </w:r>
          </w:p>
          <w:p w14:paraId="595C3477" w14:textId="77777777" w:rsidR="00666DD3" w:rsidRPr="00312DFD" w:rsidRDefault="00000000">
            <w:r w:rsidRPr="00312DFD">
              <w:rPr>
                <w:color w:val="3A3A4E"/>
                <w:sz w:val="20"/>
                <w:szCs w:val="20"/>
              </w:rPr>
              <w:t>More reliable, accessible cash machines are needed — particularly in Hedon town centre and rural areas. The current reliance on supermarket and garage ATMs is fragile.</w:t>
            </w:r>
          </w:p>
        </w:tc>
      </w:tr>
      <w:tr w:rsidR="00666DD3" w:rsidRPr="00312DFD" w14:paraId="0A30108F" w14:textId="77777777">
        <w:tblPrEx>
          <w:tblCellMar>
            <w:top w:w="0" w:type="dxa"/>
            <w:bottom w:w="0" w:type="dxa"/>
          </w:tblCellMar>
        </w:tblPrEx>
        <w:tc>
          <w:tcPr>
            <w:tcW w:w="300" w:type="dxa"/>
            <w:tcBorders>
              <w:top w:val="single" w:sz="1" w:space="0" w:color="CCCCCC"/>
              <w:left w:val="single" w:sz="1" w:space="0" w:color="CCCCCC"/>
              <w:bottom w:val="single" w:sz="1" w:space="0" w:color="CCCCCC"/>
              <w:right w:val="single" w:sz="1" w:space="0" w:color="CCCCCC"/>
            </w:tcBorders>
            <w:shd w:val="clear" w:color="auto" w:fill="1A3A5C"/>
            <w:tcMar>
              <w:top w:w="120" w:type="dxa"/>
              <w:left w:w="120" w:type="dxa"/>
              <w:bottom w:w="120" w:type="dxa"/>
              <w:right w:w="120" w:type="dxa"/>
            </w:tcMar>
            <w:vAlign w:val="center"/>
          </w:tcPr>
          <w:p w14:paraId="0C119E8A" w14:textId="77777777" w:rsidR="00666DD3" w:rsidRPr="00312DFD" w:rsidRDefault="00000000">
            <w:pPr>
              <w:jc w:val="center"/>
            </w:pPr>
            <w:r w:rsidRPr="00312DFD">
              <w:rPr>
                <w:b/>
                <w:bCs/>
                <w:color w:val="F5B569"/>
              </w:rPr>
              <w:t>2</w:t>
            </w:r>
          </w:p>
        </w:tc>
        <w:tc>
          <w:tcPr>
            <w:tcW w:w="8726"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60" w:type="dxa"/>
              <w:bottom w:w="120" w:type="dxa"/>
              <w:right w:w="160" w:type="dxa"/>
            </w:tcMar>
          </w:tcPr>
          <w:p w14:paraId="1AFBD94B" w14:textId="77777777" w:rsidR="00666DD3" w:rsidRPr="00312DFD" w:rsidRDefault="00000000">
            <w:pPr>
              <w:spacing w:after="80"/>
            </w:pPr>
            <w:r w:rsidRPr="00312DFD">
              <w:rPr>
                <w:b/>
                <w:bCs/>
                <w:color w:val="0A1628"/>
              </w:rPr>
              <w:t>Cheque deposit access</w:t>
            </w:r>
          </w:p>
          <w:p w14:paraId="4ACBDED3" w14:textId="77777777" w:rsidR="00666DD3" w:rsidRPr="00312DFD" w:rsidRDefault="00000000">
            <w:r w:rsidRPr="00312DFD">
              <w:rPr>
                <w:color w:val="3A3A4E"/>
                <w:sz w:val="20"/>
                <w:szCs w:val="20"/>
              </w:rPr>
              <w:t xml:space="preserve">Hub cheque acceptance rules need to cover all banks consistently. The current patchwork arrangement fails community organisations and older </w:t>
            </w:r>
            <w:proofErr w:type="gramStart"/>
            <w:r w:rsidRPr="00312DFD">
              <w:rPr>
                <w:color w:val="3A3A4E"/>
                <w:sz w:val="20"/>
                <w:szCs w:val="20"/>
              </w:rPr>
              <w:t>residents in particular</w:t>
            </w:r>
            <w:proofErr w:type="gramEnd"/>
            <w:r w:rsidRPr="00312DFD">
              <w:rPr>
                <w:color w:val="3A3A4E"/>
                <w:sz w:val="20"/>
                <w:szCs w:val="20"/>
              </w:rPr>
              <w:t>.</w:t>
            </w:r>
          </w:p>
        </w:tc>
      </w:tr>
      <w:tr w:rsidR="00666DD3" w:rsidRPr="00312DFD" w14:paraId="5BC84AE0" w14:textId="77777777">
        <w:tblPrEx>
          <w:tblCellMar>
            <w:top w:w="0" w:type="dxa"/>
            <w:bottom w:w="0" w:type="dxa"/>
          </w:tblCellMar>
        </w:tblPrEx>
        <w:tc>
          <w:tcPr>
            <w:tcW w:w="300" w:type="dxa"/>
            <w:tcBorders>
              <w:top w:val="single" w:sz="1" w:space="0" w:color="CCCCCC"/>
              <w:left w:val="single" w:sz="1" w:space="0" w:color="CCCCCC"/>
              <w:bottom w:val="single" w:sz="1" w:space="0" w:color="CCCCCC"/>
              <w:right w:val="single" w:sz="1" w:space="0" w:color="CCCCCC"/>
            </w:tcBorders>
            <w:shd w:val="clear" w:color="auto" w:fill="0A1628"/>
            <w:tcMar>
              <w:top w:w="120" w:type="dxa"/>
              <w:left w:w="120" w:type="dxa"/>
              <w:bottom w:w="120" w:type="dxa"/>
              <w:right w:w="120" w:type="dxa"/>
            </w:tcMar>
            <w:vAlign w:val="center"/>
          </w:tcPr>
          <w:p w14:paraId="70F7F17F" w14:textId="77777777" w:rsidR="00666DD3" w:rsidRPr="00312DFD" w:rsidRDefault="00000000">
            <w:pPr>
              <w:jc w:val="center"/>
            </w:pPr>
            <w:r w:rsidRPr="00312DFD">
              <w:rPr>
                <w:b/>
                <w:bCs/>
                <w:color w:val="F5B569"/>
              </w:rPr>
              <w:t>3</w:t>
            </w:r>
          </w:p>
        </w:tc>
        <w:tc>
          <w:tcPr>
            <w:tcW w:w="8726" w:type="dxa"/>
            <w:tcBorders>
              <w:top w:val="single" w:sz="1" w:space="0" w:color="CCCCCC"/>
              <w:left w:val="single" w:sz="1" w:space="0" w:color="CCCCCC"/>
              <w:bottom w:val="single" w:sz="1" w:space="0" w:color="CCCCCC"/>
              <w:right w:val="single" w:sz="1" w:space="0" w:color="CCCCCC"/>
            </w:tcBorders>
            <w:shd w:val="clear" w:color="auto" w:fill="F0F4F8"/>
            <w:tcMar>
              <w:top w:w="120" w:type="dxa"/>
              <w:left w:w="160" w:type="dxa"/>
              <w:bottom w:w="120" w:type="dxa"/>
              <w:right w:w="160" w:type="dxa"/>
            </w:tcMar>
          </w:tcPr>
          <w:p w14:paraId="72F89423" w14:textId="77777777" w:rsidR="00666DD3" w:rsidRPr="00312DFD" w:rsidRDefault="00000000">
            <w:pPr>
              <w:spacing w:after="80"/>
            </w:pPr>
            <w:r w:rsidRPr="00312DFD">
              <w:rPr>
                <w:b/>
                <w:bCs/>
                <w:color w:val="0A1628"/>
              </w:rPr>
              <w:t>Hub opening hours</w:t>
            </w:r>
          </w:p>
          <w:p w14:paraId="4557FE6C" w14:textId="77777777" w:rsidR="00666DD3" w:rsidRPr="00312DFD" w:rsidRDefault="00000000">
            <w:r w:rsidRPr="00312DFD">
              <w:rPr>
                <w:color w:val="3A3A4E"/>
                <w:sz w:val="20"/>
                <w:szCs w:val="20"/>
              </w:rPr>
              <w:t>Saturday morning access at minimum would significantly extend the reach of both hubs to working-age residents.</w:t>
            </w:r>
          </w:p>
        </w:tc>
      </w:tr>
      <w:tr w:rsidR="00666DD3" w:rsidRPr="00312DFD" w14:paraId="675E658B" w14:textId="77777777">
        <w:tblPrEx>
          <w:tblCellMar>
            <w:top w:w="0" w:type="dxa"/>
            <w:bottom w:w="0" w:type="dxa"/>
          </w:tblCellMar>
        </w:tblPrEx>
        <w:tc>
          <w:tcPr>
            <w:tcW w:w="300" w:type="dxa"/>
            <w:tcBorders>
              <w:top w:val="single" w:sz="1" w:space="0" w:color="CCCCCC"/>
              <w:left w:val="single" w:sz="1" w:space="0" w:color="CCCCCC"/>
              <w:bottom w:val="single" w:sz="1" w:space="0" w:color="CCCCCC"/>
              <w:right w:val="single" w:sz="1" w:space="0" w:color="CCCCCC"/>
            </w:tcBorders>
            <w:shd w:val="clear" w:color="auto" w:fill="1A3A5C"/>
            <w:tcMar>
              <w:top w:w="120" w:type="dxa"/>
              <w:left w:w="120" w:type="dxa"/>
              <w:bottom w:w="120" w:type="dxa"/>
              <w:right w:w="120" w:type="dxa"/>
            </w:tcMar>
            <w:vAlign w:val="center"/>
          </w:tcPr>
          <w:p w14:paraId="2DED64D1" w14:textId="77777777" w:rsidR="00666DD3" w:rsidRPr="00312DFD" w:rsidRDefault="00000000">
            <w:pPr>
              <w:jc w:val="center"/>
            </w:pPr>
            <w:r w:rsidRPr="00312DFD">
              <w:rPr>
                <w:b/>
                <w:bCs/>
                <w:color w:val="F5B569"/>
              </w:rPr>
              <w:t>4</w:t>
            </w:r>
          </w:p>
        </w:tc>
        <w:tc>
          <w:tcPr>
            <w:tcW w:w="8726"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60" w:type="dxa"/>
              <w:bottom w:w="120" w:type="dxa"/>
              <w:right w:w="160" w:type="dxa"/>
            </w:tcMar>
          </w:tcPr>
          <w:p w14:paraId="07417FEB" w14:textId="77777777" w:rsidR="00666DD3" w:rsidRPr="00312DFD" w:rsidRDefault="00000000">
            <w:pPr>
              <w:spacing w:after="80"/>
            </w:pPr>
            <w:r w:rsidRPr="00312DFD">
              <w:rPr>
                <w:b/>
                <w:bCs/>
                <w:color w:val="0A1628"/>
              </w:rPr>
              <w:t>Support for older and vulnerable residents</w:t>
            </w:r>
          </w:p>
          <w:p w14:paraId="76D5139D" w14:textId="77777777" w:rsidR="00666DD3" w:rsidRPr="00312DFD" w:rsidRDefault="00000000">
            <w:r w:rsidRPr="00312DFD">
              <w:rPr>
                <w:color w:val="3A3A4E"/>
                <w:sz w:val="20"/>
                <w:szCs w:val="20"/>
              </w:rPr>
              <w:t>Dedicated face-to-face support — ideally locally — remains essential for those who cannot or will not use digital banking.</w:t>
            </w:r>
          </w:p>
        </w:tc>
      </w:tr>
      <w:tr w:rsidR="00666DD3" w:rsidRPr="00312DFD" w14:paraId="235192E6" w14:textId="77777777">
        <w:tblPrEx>
          <w:tblCellMar>
            <w:top w:w="0" w:type="dxa"/>
            <w:bottom w:w="0" w:type="dxa"/>
          </w:tblCellMar>
        </w:tblPrEx>
        <w:tc>
          <w:tcPr>
            <w:tcW w:w="300" w:type="dxa"/>
            <w:tcBorders>
              <w:top w:val="single" w:sz="1" w:space="0" w:color="CCCCCC"/>
              <w:left w:val="single" w:sz="1" w:space="0" w:color="CCCCCC"/>
              <w:bottom w:val="single" w:sz="1" w:space="0" w:color="CCCCCC"/>
              <w:right w:val="single" w:sz="1" w:space="0" w:color="CCCCCC"/>
            </w:tcBorders>
            <w:shd w:val="clear" w:color="auto" w:fill="0A1628"/>
            <w:tcMar>
              <w:top w:w="120" w:type="dxa"/>
              <w:left w:w="120" w:type="dxa"/>
              <w:bottom w:w="120" w:type="dxa"/>
              <w:right w:w="120" w:type="dxa"/>
            </w:tcMar>
            <w:vAlign w:val="center"/>
          </w:tcPr>
          <w:p w14:paraId="2B6A7AE9" w14:textId="77777777" w:rsidR="00666DD3" w:rsidRPr="00312DFD" w:rsidRDefault="00000000">
            <w:pPr>
              <w:jc w:val="center"/>
            </w:pPr>
            <w:r w:rsidRPr="00312DFD">
              <w:rPr>
                <w:b/>
                <w:bCs/>
                <w:color w:val="F5B569"/>
              </w:rPr>
              <w:t>5</w:t>
            </w:r>
          </w:p>
        </w:tc>
        <w:tc>
          <w:tcPr>
            <w:tcW w:w="8726" w:type="dxa"/>
            <w:tcBorders>
              <w:top w:val="single" w:sz="1" w:space="0" w:color="CCCCCC"/>
              <w:left w:val="single" w:sz="1" w:space="0" w:color="CCCCCC"/>
              <w:bottom w:val="single" w:sz="1" w:space="0" w:color="CCCCCC"/>
              <w:right w:val="single" w:sz="1" w:space="0" w:color="CCCCCC"/>
            </w:tcBorders>
            <w:shd w:val="clear" w:color="auto" w:fill="F0F4F8"/>
            <w:tcMar>
              <w:top w:w="120" w:type="dxa"/>
              <w:left w:w="160" w:type="dxa"/>
              <w:bottom w:w="120" w:type="dxa"/>
              <w:right w:w="160" w:type="dxa"/>
            </w:tcMar>
          </w:tcPr>
          <w:p w14:paraId="2EFA0853" w14:textId="77777777" w:rsidR="00666DD3" w:rsidRPr="00312DFD" w:rsidRDefault="00000000">
            <w:pPr>
              <w:spacing w:after="80"/>
            </w:pPr>
            <w:r w:rsidRPr="00312DFD">
              <w:rPr>
                <w:b/>
                <w:bCs/>
                <w:color w:val="0A1628"/>
              </w:rPr>
              <w:t>Hub service scope</w:t>
            </w:r>
          </w:p>
          <w:p w14:paraId="491E1D29" w14:textId="77777777" w:rsidR="00666DD3" w:rsidRPr="00312DFD" w:rsidRDefault="00000000">
            <w:r w:rsidRPr="00312DFD">
              <w:rPr>
                <w:color w:val="3A3A4E"/>
                <w:sz w:val="20"/>
                <w:szCs w:val="20"/>
              </w:rPr>
              <w:t>Transfers, bill payments beyond utilities, business transactions, and foreign currency need to be addressed. The hubs currently fall short for many common needs.</w:t>
            </w:r>
          </w:p>
        </w:tc>
      </w:tr>
      <w:tr w:rsidR="00666DD3" w:rsidRPr="00312DFD" w14:paraId="149E1D2A" w14:textId="77777777">
        <w:tblPrEx>
          <w:tblCellMar>
            <w:top w:w="0" w:type="dxa"/>
            <w:bottom w:w="0" w:type="dxa"/>
          </w:tblCellMar>
        </w:tblPrEx>
        <w:tc>
          <w:tcPr>
            <w:tcW w:w="300" w:type="dxa"/>
            <w:tcBorders>
              <w:top w:val="single" w:sz="1" w:space="0" w:color="CCCCCC"/>
              <w:left w:val="single" w:sz="1" w:space="0" w:color="CCCCCC"/>
              <w:bottom w:val="single" w:sz="1" w:space="0" w:color="CCCCCC"/>
              <w:right w:val="single" w:sz="1" w:space="0" w:color="CCCCCC"/>
            </w:tcBorders>
            <w:shd w:val="clear" w:color="auto" w:fill="1A3A5C"/>
            <w:tcMar>
              <w:top w:w="120" w:type="dxa"/>
              <w:left w:w="120" w:type="dxa"/>
              <w:bottom w:w="120" w:type="dxa"/>
              <w:right w:w="120" w:type="dxa"/>
            </w:tcMar>
            <w:vAlign w:val="center"/>
          </w:tcPr>
          <w:p w14:paraId="0B7D55B4" w14:textId="77777777" w:rsidR="00666DD3" w:rsidRPr="00312DFD" w:rsidRDefault="00000000">
            <w:pPr>
              <w:jc w:val="center"/>
            </w:pPr>
            <w:r w:rsidRPr="00312DFD">
              <w:rPr>
                <w:b/>
                <w:bCs/>
                <w:color w:val="F5B569"/>
              </w:rPr>
              <w:t>6</w:t>
            </w:r>
          </w:p>
        </w:tc>
        <w:tc>
          <w:tcPr>
            <w:tcW w:w="8726"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60" w:type="dxa"/>
              <w:bottom w:w="120" w:type="dxa"/>
              <w:right w:w="160" w:type="dxa"/>
            </w:tcMar>
          </w:tcPr>
          <w:p w14:paraId="624D8D31" w14:textId="77777777" w:rsidR="00666DD3" w:rsidRPr="00312DFD" w:rsidRDefault="00000000">
            <w:pPr>
              <w:spacing w:after="80"/>
            </w:pPr>
            <w:r w:rsidRPr="00312DFD">
              <w:rPr>
                <w:b/>
                <w:bCs/>
                <w:color w:val="0A1628"/>
              </w:rPr>
              <w:t>Continued hub presence</w:t>
            </w:r>
          </w:p>
          <w:p w14:paraId="542E707C" w14:textId="77777777" w:rsidR="00666DD3" w:rsidRPr="00312DFD" w:rsidRDefault="00000000">
            <w:r w:rsidRPr="00312DFD">
              <w:rPr>
                <w:color w:val="3A3A4E"/>
                <w:sz w:val="20"/>
                <w:szCs w:val="20"/>
              </w:rPr>
              <w:t>Where the hubs are working well — particularly Withernsea — this should be recognised and protected.</w:t>
            </w:r>
          </w:p>
        </w:tc>
      </w:tr>
    </w:tbl>
    <w:p w14:paraId="10D19F1D" w14:textId="77777777" w:rsidR="00666DD3" w:rsidRPr="00312DFD" w:rsidRDefault="00666DD3">
      <w:pPr>
        <w:spacing w:after="300"/>
      </w:pPr>
    </w:p>
    <w:p w14:paraId="54D1E09E" w14:textId="77777777" w:rsidR="00666DD3" w:rsidRPr="00312DFD" w:rsidRDefault="00000000">
      <w:pPr>
        <w:pBdr>
          <w:top w:val="single" w:sz="4" w:space="8" w:color="CCCCCC"/>
        </w:pBdr>
        <w:spacing w:before="120"/>
        <w:jc w:val="center"/>
      </w:pPr>
      <w:r w:rsidRPr="00312DFD">
        <w:rPr>
          <w:i/>
          <w:iCs/>
          <w:color w:val="6B7A8D"/>
          <w:sz w:val="18"/>
          <w:szCs w:val="18"/>
        </w:rPr>
        <w:t xml:space="preserve">Graham Stuart </w:t>
      </w:r>
      <w:proofErr w:type="gramStart"/>
      <w:r w:rsidRPr="00312DFD">
        <w:rPr>
          <w:i/>
          <w:iCs/>
          <w:color w:val="6B7A8D"/>
          <w:sz w:val="18"/>
          <w:szCs w:val="18"/>
        </w:rPr>
        <w:t>MP  ·</w:t>
      </w:r>
      <w:proofErr w:type="gramEnd"/>
      <w:r w:rsidRPr="00312DFD">
        <w:rPr>
          <w:i/>
          <w:iCs/>
          <w:color w:val="6B7A8D"/>
          <w:sz w:val="18"/>
          <w:szCs w:val="18"/>
        </w:rPr>
        <w:t xml:space="preserve">  Beverley &amp; </w:t>
      </w:r>
      <w:proofErr w:type="gramStart"/>
      <w:r w:rsidRPr="00312DFD">
        <w:rPr>
          <w:i/>
          <w:iCs/>
          <w:color w:val="6B7A8D"/>
          <w:sz w:val="18"/>
          <w:szCs w:val="18"/>
        </w:rPr>
        <w:t>Holderness  ·</w:t>
      </w:r>
      <w:proofErr w:type="gramEnd"/>
      <w:r w:rsidRPr="00312DFD">
        <w:rPr>
          <w:i/>
          <w:iCs/>
          <w:color w:val="6B7A8D"/>
          <w:sz w:val="18"/>
          <w:szCs w:val="18"/>
        </w:rPr>
        <w:t xml:space="preserve">  May 2026</w:t>
      </w:r>
    </w:p>
    <w:sectPr w:rsidR="00666DD3" w:rsidRPr="00312D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66F0" w14:textId="77777777" w:rsidR="003916CA" w:rsidRDefault="003916CA" w:rsidP="00312DFD">
      <w:r>
        <w:separator/>
      </w:r>
    </w:p>
  </w:endnote>
  <w:endnote w:type="continuationSeparator" w:id="0">
    <w:p w14:paraId="19DC1B36" w14:textId="77777777" w:rsidR="003916CA" w:rsidRDefault="003916CA" w:rsidP="0031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E534" w14:textId="77777777" w:rsidR="003916CA" w:rsidRDefault="003916CA" w:rsidP="00312DFD">
      <w:r>
        <w:separator/>
      </w:r>
    </w:p>
  </w:footnote>
  <w:footnote w:type="continuationSeparator" w:id="0">
    <w:p w14:paraId="6C2D6650" w14:textId="77777777" w:rsidR="003916CA" w:rsidRDefault="003916CA" w:rsidP="0031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4ED8" w14:textId="710636D3" w:rsidR="00312DFD" w:rsidRDefault="00312DFD">
    <w:pPr>
      <w:pStyle w:val="Header"/>
    </w:pPr>
    <w:r>
      <w:rPr>
        <w:noProof/>
      </w:rPr>
      <w:drawing>
        <wp:inline distT="0" distB="0" distL="0" distR="0" wp14:anchorId="167232D1" wp14:editId="2684F6F6">
          <wp:extent cx="5731510" cy="818515"/>
          <wp:effectExtent l="0" t="0" r="0" b="0"/>
          <wp:docPr id="171022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25661" name="Picture 1710225661"/>
                  <pic:cNvPicPr/>
                </pic:nvPicPr>
                <pic:blipFill>
                  <a:blip r:embed="rId1">
                    <a:extLst>
                      <a:ext uri="{28A0092B-C50C-407E-A947-70E740481C1C}">
                        <a14:useLocalDpi xmlns:a14="http://schemas.microsoft.com/office/drawing/2010/main" val="0"/>
                      </a:ext>
                    </a:extLst>
                  </a:blip>
                  <a:stretch>
                    <a:fillRect/>
                  </a:stretch>
                </pic:blipFill>
                <pic:spPr>
                  <a:xfrm>
                    <a:off x="0" y="0"/>
                    <a:ext cx="5731510" cy="818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3FF3"/>
    <w:multiLevelType w:val="hybridMultilevel"/>
    <w:tmpl w:val="40345504"/>
    <w:lvl w:ilvl="0" w:tplc="EC1A27E4">
      <w:start w:val="1"/>
      <w:numFmt w:val="bullet"/>
      <w:lvlText w:val="●"/>
      <w:lvlJc w:val="left"/>
      <w:pPr>
        <w:ind w:left="720" w:hanging="360"/>
      </w:pPr>
    </w:lvl>
    <w:lvl w:ilvl="1" w:tplc="AA2A93B0">
      <w:start w:val="1"/>
      <w:numFmt w:val="bullet"/>
      <w:lvlText w:val="○"/>
      <w:lvlJc w:val="left"/>
      <w:pPr>
        <w:ind w:left="1440" w:hanging="360"/>
      </w:pPr>
    </w:lvl>
    <w:lvl w:ilvl="2" w:tplc="46383AE8">
      <w:start w:val="1"/>
      <w:numFmt w:val="bullet"/>
      <w:lvlText w:val="■"/>
      <w:lvlJc w:val="left"/>
      <w:pPr>
        <w:ind w:left="2160" w:hanging="360"/>
      </w:pPr>
    </w:lvl>
    <w:lvl w:ilvl="3" w:tplc="38D81588">
      <w:start w:val="1"/>
      <w:numFmt w:val="bullet"/>
      <w:lvlText w:val="●"/>
      <w:lvlJc w:val="left"/>
      <w:pPr>
        <w:ind w:left="2880" w:hanging="360"/>
      </w:pPr>
    </w:lvl>
    <w:lvl w:ilvl="4" w:tplc="4FAE2848">
      <w:start w:val="1"/>
      <w:numFmt w:val="bullet"/>
      <w:lvlText w:val="○"/>
      <w:lvlJc w:val="left"/>
      <w:pPr>
        <w:ind w:left="3600" w:hanging="360"/>
      </w:pPr>
    </w:lvl>
    <w:lvl w:ilvl="5" w:tplc="A0EE3C7E">
      <w:start w:val="1"/>
      <w:numFmt w:val="bullet"/>
      <w:lvlText w:val="■"/>
      <w:lvlJc w:val="left"/>
      <w:pPr>
        <w:ind w:left="4320" w:hanging="360"/>
      </w:pPr>
    </w:lvl>
    <w:lvl w:ilvl="6" w:tplc="FC888902">
      <w:start w:val="1"/>
      <w:numFmt w:val="bullet"/>
      <w:lvlText w:val="●"/>
      <w:lvlJc w:val="left"/>
      <w:pPr>
        <w:ind w:left="5040" w:hanging="360"/>
      </w:pPr>
    </w:lvl>
    <w:lvl w:ilvl="7" w:tplc="74F664D6">
      <w:start w:val="1"/>
      <w:numFmt w:val="bullet"/>
      <w:lvlText w:val="●"/>
      <w:lvlJc w:val="left"/>
      <w:pPr>
        <w:ind w:left="5760" w:hanging="360"/>
      </w:pPr>
    </w:lvl>
    <w:lvl w:ilvl="8" w:tplc="D6B451E8">
      <w:start w:val="1"/>
      <w:numFmt w:val="bullet"/>
      <w:lvlText w:val="●"/>
      <w:lvlJc w:val="left"/>
      <w:pPr>
        <w:ind w:left="6480" w:hanging="360"/>
      </w:pPr>
    </w:lvl>
  </w:abstractNum>
  <w:abstractNum w:abstractNumId="1" w15:restartNumberingAfterBreak="0">
    <w:nsid w:val="260D7775"/>
    <w:multiLevelType w:val="hybridMultilevel"/>
    <w:tmpl w:val="175C86EC"/>
    <w:lvl w:ilvl="0" w:tplc="9B50F6A8">
      <w:start w:val="1"/>
      <w:numFmt w:val="bullet"/>
      <w:lvlText w:val="•"/>
      <w:lvlJc w:val="left"/>
      <w:pPr>
        <w:ind w:left="720" w:hanging="360"/>
      </w:pPr>
    </w:lvl>
    <w:lvl w:ilvl="1" w:tplc="377E69E0">
      <w:numFmt w:val="decimal"/>
      <w:lvlText w:val=""/>
      <w:lvlJc w:val="left"/>
    </w:lvl>
    <w:lvl w:ilvl="2" w:tplc="357C3550">
      <w:numFmt w:val="decimal"/>
      <w:lvlText w:val=""/>
      <w:lvlJc w:val="left"/>
    </w:lvl>
    <w:lvl w:ilvl="3" w:tplc="CB46DCB2">
      <w:numFmt w:val="decimal"/>
      <w:lvlText w:val=""/>
      <w:lvlJc w:val="left"/>
    </w:lvl>
    <w:lvl w:ilvl="4" w:tplc="1B9E05A2">
      <w:numFmt w:val="decimal"/>
      <w:lvlText w:val=""/>
      <w:lvlJc w:val="left"/>
    </w:lvl>
    <w:lvl w:ilvl="5" w:tplc="7472B6EA">
      <w:numFmt w:val="decimal"/>
      <w:lvlText w:val=""/>
      <w:lvlJc w:val="left"/>
    </w:lvl>
    <w:lvl w:ilvl="6" w:tplc="BD8AE104">
      <w:numFmt w:val="decimal"/>
      <w:lvlText w:val=""/>
      <w:lvlJc w:val="left"/>
    </w:lvl>
    <w:lvl w:ilvl="7" w:tplc="0DFCC604">
      <w:numFmt w:val="decimal"/>
      <w:lvlText w:val=""/>
      <w:lvlJc w:val="left"/>
    </w:lvl>
    <w:lvl w:ilvl="8" w:tplc="FFC2425A">
      <w:numFmt w:val="decimal"/>
      <w:lvlText w:val=""/>
      <w:lvlJc w:val="left"/>
    </w:lvl>
  </w:abstractNum>
  <w:num w:numId="1" w16cid:durableId="1131558211">
    <w:abstractNumId w:val="0"/>
    <w:lvlOverride w:ilvl="0">
      <w:startOverride w:val="1"/>
    </w:lvlOverride>
  </w:num>
  <w:num w:numId="2" w16cid:durableId="10345738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D3"/>
    <w:rsid w:val="00312DFD"/>
    <w:rsid w:val="003916CA"/>
    <w:rsid w:val="00666DD3"/>
    <w:rsid w:val="0086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6E38DD"/>
  <w15:docId w15:val="{9503F0A8-AB75-D547-B488-2CFBCAA9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12DFD"/>
    <w:pPr>
      <w:tabs>
        <w:tab w:val="center" w:pos="4513"/>
        <w:tab w:val="right" w:pos="9026"/>
      </w:tabs>
    </w:pPr>
  </w:style>
  <w:style w:type="character" w:customStyle="1" w:styleId="HeaderChar">
    <w:name w:val="Header Char"/>
    <w:basedOn w:val="DefaultParagraphFont"/>
    <w:link w:val="Header"/>
    <w:uiPriority w:val="99"/>
    <w:rsid w:val="00312DFD"/>
  </w:style>
  <w:style w:type="paragraph" w:styleId="Footer">
    <w:name w:val="footer"/>
    <w:basedOn w:val="Normal"/>
    <w:link w:val="FooterChar"/>
    <w:uiPriority w:val="99"/>
    <w:unhideWhenUsed/>
    <w:rsid w:val="00312DFD"/>
    <w:pPr>
      <w:tabs>
        <w:tab w:val="center" w:pos="4513"/>
        <w:tab w:val="right" w:pos="9026"/>
      </w:tabs>
    </w:pPr>
  </w:style>
  <w:style w:type="character" w:customStyle="1" w:styleId="FooterChar">
    <w:name w:val="Footer Char"/>
    <w:basedOn w:val="DefaultParagraphFont"/>
    <w:link w:val="Footer"/>
    <w:uiPriority w:val="99"/>
    <w:rsid w:val="0031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SMITH, Jack D</cp:lastModifiedBy>
  <cp:revision>2</cp:revision>
  <dcterms:created xsi:type="dcterms:W3CDTF">2026-05-14T13:20:00Z</dcterms:created>
  <dcterms:modified xsi:type="dcterms:W3CDTF">2026-05-14T13:20:00Z</dcterms:modified>
</cp:coreProperties>
</file>